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建材公司-生石灰、粉石灰</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2024</w:t>
      </w:r>
    </w:p>
    <w:p>
      <w:pPr>
        <w:rPr>
          <w:rFonts w:hint="eastAsia"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20</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12</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17</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任凡</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15656263008</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u w:val="single"/>
        </w:rPr>
        <w:t>2020年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17</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highlight w:val="none"/>
          <w:u w:val="single"/>
        </w:rPr>
        <w:t>2020年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5、开标时间：</w:t>
      </w:r>
      <w:r>
        <w:rPr>
          <w:rFonts w:hint="eastAsia" w:ascii="仿宋" w:hAnsi="仿宋" w:eastAsia="仿宋" w:cs="仿宋_GB2312"/>
          <w:sz w:val="28"/>
          <w:szCs w:val="28"/>
          <w:highlight w:val="none"/>
          <w:u w:val="single"/>
        </w:rPr>
        <w:t>2020年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的内容将分成</w:t>
      </w:r>
      <w:r>
        <w:rPr>
          <w:rFonts w:hint="eastAsia" w:ascii="仿宋" w:hAnsi="仿宋" w:eastAsia="仿宋" w:cs="仿宋_GB2312"/>
          <w:b/>
          <w:bCs/>
          <w:sz w:val="28"/>
          <w:szCs w:val="28"/>
          <w:u w:val="single"/>
          <w:lang w:val="en-US" w:eastAsia="zh-CN"/>
        </w:rPr>
        <w:t>2</w:t>
      </w:r>
      <w:r>
        <w:rPr>
          <w:rFonts w:hint="eastAsia" w:ascii="仿宋" w:hAnsi="仿宋" w:eastAsia="仿宋" w:cs="仿宋_GB2312"/>
          <w:sz w:val="28"/>
          <w:szCs w:val="28"/>
          <w:u w:val="none"/>
          <w:lang w:val="en-US" w:eastAsia="zh-CN"/>
        </w:rPr>
        <w:t>个包</w:t>
      </w:r>
      <w:r>
        <w:rPr>
          <w:rFonts w:hint="eastAsia" w:ascii="仿宋" w:hAnsi="仿宋" w:eastAsia="仿宋" w:cs="仿宋_GB2312"/>
          <w:sz w:val="28"/>
          <w:szCs w:val="28"/>
          <w:u w:val="single"/>
        </w:rPr>
        <w:t>（详见报价单）：</w:t>
      </w:r>
    </w:p>
    <w:p>
      <w:pPr>
        <w:ind w:firstLine="1405" w:firstLineChars="500"/>
        <w:rPr>
          <w:rFonts w:hint="eastAsia" w:ascii="仿宋" w:hAnsi="仿宋" w:eastAsia="仿宋" w:cs="仿宋_GB2312"/>
          <w:sz w:val="28"/>
          <w:szCs w:val="28"/>
          <w:u w:val="none"/>
          <w:lang w:val="en-US" w:eastAsia="zh-CN"/>
        </w:rPr>
      </w:pPr>
      <w:r>
        <w:rPr>
          <w:rFonts w:hint="eastAsia" w:ascii="仿宋" w:hAnsi="仿宋" w:eastAsia="仿宋" w:cs="仿宋_GB2312"/>
          <w:b/>
          <w:bCs/>
          <w:sz w:val="28"/>
          <w:szCs w:val="28"/>
          <w:u w:val="none"/>
          <w:lang w:val="en-US" w:eastAsia="zh-CN"/>
        </w:rPr>
        <w:t>1</w:t>
      </w:r>
      <w:r>
        <w:rPr>
          <w:rFonts w:hint="eastAsia" w:ascii="仿宋" w:hAnsi="仿宋" w:eastAsia="仿宋" w:cs="仿宋_GB2312"/>
          <w:sz w:val="28"/>
          <w:szCs w:val="28"/>
          <w:u w:val="none"/>
          <w:lang w:val="en-US" w:eastAsia="zh-CN"/>
        </w:rPr>
        <w:t>包（胶凝材料使用）：</w:t>
      </w:r>
      <w:r>
        <w:rPr>
          <w:rFonts w:hint="eastAsia" w:ascii="仿宋" w:hAnsi="仿宋" w:eastAsia="仿宋" w:cs="仿宋_GB2312"/>
          <w:b/>
          <w:bCs/>
          <w:sz w:val="28"/>
          <w:szCs w:val="28"/>
          <w:u w:val="none"/>
          <w:lang w:val="en-US" w:eastAsia="zh-CN"/>
        </w:rPr>
        <w:t>1000</w:t>
      </w:r>
      <w:r>
        <w:rPr>
          <w:rFonts w:hint="eastAsia" w:ascii="仿宋" w:hAnsi="仿宋" w:eastAsia="仿宋" w:cs="仿宋_GB2312"/>
          <w:sz w:val="28"/>
          <w:szCs w:val="28"/>
          <w:u w:val="none"/>
          <w:lang w:val="en-US" w:eastAsia="zh-CN"/>
        </w:rPr>
        <w:t>吨生石灰、</w:t>
      </w:r>
      <w:r>
        <w:rPr>
          <w:rFonts w:hint="eastAsia" w:ascii="仿宋" w:hAnsi="仿宋" w:eastAsia="仿宋" w:cs="仿宋_GB2312"/>
          <w:b/>
          <w:bCs/>
          <w:sz w:val="28"/>
          <w:szCs w:val="28"/>
          <w:u w:val="none"/>
          <w:lang w:val="en-US" w:eastAsia="zh-CN"/>
        </w:rPr>
        <w:t>500</w:t>
      </w:r>
      <w:r>
        <w:rPr>
          <w:rFonts w:hint="eastAsia" w:ascii="仿宋" w:hAnsi="仿宋" w:eastAsia="仿宋" w:cs="仿宋_GB2312"/>
          <w:sz w:val="28"/>
          <w:szCs w:val="28"/>
          <w:u w:val="none"/>
          <w:lang w:val="en-US" w:eastAsia="zh-CN"/>
        </w:rPr>
        <w:t>吨粉石灰。</w:t>
      </w:r>
    </w:p>
    <w:p>
      <w:pPr>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u w:val="none"/>
          <w:lang w:val="en-US" w:eastAsia="zh-CN"/>
        </w:rPr>
        <w:t xml:space="preserve">    </w:t>
      </w:r>
      <w:r>
        <w:rPr>
          <w:rFonts w:hint="eastAsia" w:ascii="仿宋" w:hAnsi="仿宋" w:eastAsia="仿宋" w:cs="仿宋_GB2312"/>
          <w:b/>
          <w:bCs/>
          <w:sz w:val="28"/>
          <w:szCs w:val="28"/>
          <w:u w:val="none"/>
          <w:lang w:val="en-US" w:eastAsia="zh-CN"/>
        </w:rPr>
        <w:t xml:space="preserve">  2</w:t>
      </w:r>
      <w:r>
        <w:rPr>
          <w:rFonts w:hint="eastAsia" w:ascii="仿宋" w:hAnsi="仿宋" w:eastAsia="仿宋" w:cs="仿宋_GB2312"/>
          <w:sz w:val="28"/>
          <w:szCs w:val="28"/>
          <w:u w:val="none"/>
          <w:lang w:val="en-US" w:eastAsia="zh-CN"/>
        </w:rPr>
        <w:t>包（砌块材料使用）：</w:t>
      </w:r>
      <w:r>
        <w:rPr>
          <w:rFonts w:hint="eastAsia" w:ascii="仿宋" w:hAnsi="仿宋" w:eastAsia="仿宋" w:cs="仿宋_GB2312"/>
          <w:b/>
          <w:bCs/>
          <w:sz w:val="28"/>
          <w:szCs w:val="28"/>
          <w:u w:val="none"/>
          <w:lang w:val="en-US" w:eastAsia="zh-CN"/>
        </w:rPr>
        <w:t>3000</w:t>
      </w:r>
      <w:r>
        <w:rPr>
          <w:rFonts w:hint="eastAsia" w:ascii="仿宋" w:hAnsi="仿宋" w:eastAsia="仿宋" w:cs="仿宋_GB2312"/>
          <w:sz w:val="28"/>
          <w:szCs w:val="28"/>
          <w:u w:val="none"/>
          <w:lang w:val="en-US" w:eastAsia="zh-CN"/>
        </w:rPr>
        <w:t>吨生石灰。</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2、投标人须为</w:t>
      </w:r>
      <w:r>
        <w:rPr>
          <w:rFonts w:hint="eastAsia" w:ascii="仿宋" w:hAnsi="仿宋" w:eastAsia="仿宋" w:cs="仿宋_GB2312"/>
          <w:b/>
          <w:bCs/>
          <w:sz w:val="28"/>
          <w:szCs w:val="28"/>
        </w:rPr>
        <w:t>一般纳税人</w:t>
      </w:r>
      <w:r>
        <w:rPr>
          <w:rFonts w:hint="eastAsia" w:ascii="仿宋" w:hAnsi="仿宋" w:eastAsia="仿宋" w:cs="仿宋_GB2312"/>
          <w:sz w:val="28"/>
          <w:szCs w:val="28"/>
          <w:lang w:eastAsia="zh-CN"/>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highlight w:val="none"/>
          <w:u w:val="single"/>
        </w:rPr>
        <w:t>2020年</w:t>
      </w:r>
      <w:r>
        <w:rPr>
          <w:rFonts w:hint="eastAsia" w:ascii="仿宋_GB2312" w:hAnsi="仿宋_GB2312" w:eastAsia="仿宋_GB2312" w:cs="仿宋_GB2312"/>
          <w:sz w:val="28"/>
          <w:szCs w:val="28"/>
          <w:highlight w:val="none"/>
          <w:u w:val="single"/>
          <w:lang w:val="en-US" w:eastAsia="zh-CN"/>
        </w:rPr>
        <w:t>12</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22</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20</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12</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23</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numPr>
          <w:ilvl w:val="0"/>
          <w:numId w:val="2"/>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numPr>
          <w:ilvl w:val="0"/>
          <w:numId w:val="3"/>
        </w:numPr>
        <w:ind w:firstLine="638" w:firstLineChars="228"/>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货物规格及有关要求</w:t>
      </w:r>
    </w:p>
    <w:p>
      <w:pPr>
        <w:ind w:firstLine="1120" w:firstLineChars="400"/>
        <w:jc w:val="left"/>
        <w:rPr>
          <w:rFonts w:hint="eastAsia" w:ascii="仿宋" w:hAnsi="仿宋" w:eastAsia="仿宋" w:cs="仿宋_GB2312"/>
          <w:sz w:val="28"/>
          <w:szCs w:val="28"/>
          <w:highlight w:val="cyan"/>
          <w:u w:val="single"/>
          <w:lang w:val="en-US" w:eastAsia="zh-CN"/>
        </w:rPr>
      </w:pP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b/>
          <w:bCs/>
          <w:sz w:val="28"/>
          <w:szCs w:val="28"/>
          <w:highlight w:val="none"/>
          <w:u w:val="single"/>
          <w:lang w:val="en-US" w:eastAsia="zh-CN"/>
        </w:rPr>
        <w:t>1</w:t>
      </w:r>
      <w:r>
        <w:rPr>
          <w:rFonts w:hint="eastAsia" w:ascii="仿宋" w:hAnsi="仿宋" w:eastAsia="仿宋" w:cs="仿宋_GB2312"/>
          <w:b w:val="0"/>
          <w:bCs w:val="0"/>
          <w:sz w:val="28"/>
          <w:szCs w:val="28"/>
          <w:highlight w:val="none"/>
          <w:u w:val="single"/>
          <w:lang w:val="en-US" w:eastAsia="zh-CN"/>
        </w:rPr>
        <w:t>包（胶凝材料使用）生石灰和粉石灰</w:t>
      </w:r>
      <w:r>
        <w:rPr>
          <w:rFonts w:hint="eastAsia" w:ascii="仿宋" w:hAnsi="仿宋" w:eastAsia="仿宋" w:cs="仿宋_GB2312"/>
          <w:sz w:val="28"/>
          <w:szCs w:val="28"/>
          <w:highlight w:val="none"/>
          <w:u w:val="single"/>
          <w:lang w:val="en-US" w:eastAsia="zh-CN"/>
        </w:rPr>
        <w:t>：要求块状石灰消解后无水，外观尺寸1cm-5cm,占比大于90%。生石灰化学成分和物理性能试验方法按JC/T478-2013进行，胶凝材生石灰消化速度应为1min-5min,有效钙质量分数≥85%。</w:t>
      </w:r>
    </w:p>
    <w:p>
      <w:pPr>
        <w:ind w:firstLine="1120" w:firstLineChars="400"/>
        <w:jc w:val="left"/>
        <w:rPr>
          <w:rFonts w:hint="default" w:ascii="仿宋" w:hAnsi="仿宋" w:eastAsia="仿宋" w:cs="仿宋_GB2312"/>
          <w:sz w:val="28"/>
          <w:szCs w:val="28"/>
          <w:highlight w:val="red"/>
          <w:u w:val="single"/>
          <w:lang w:val="en-US" w:eastAsia="zh-CN"/>
        </w:rPr>
      </w:pPr>
      <w:r>
        <w:rPr>
          <w:rFonts w:hint="eastAsia" w:ascii="仿宋" w:hAnsi="仿宋" w:eastAsia="仿宋" w:cs="仿宋_GB2312"/>
          <w:sz w:val="28"/>
          <w:szCs w:val="28"/>
          <w:highlight w:val="none"/>
          <w:u w:val="single"/>
          <w:lang w:val="en-US" w:eastAsia="zh-CN"/>
        </w:rPr>
        <w:t>2）</w:t>
      </w:r>
      <w:r>
        <w:rPr>
          <w:rFonts w:hint="eastAsia" w:ascii="仿宋" w:hAnsi="仿宋" w:eastAsia="仿宋" w:cs="仿宋_GB2312"/>
          <w:b/>
          <w:bCs/>
          <w:sz w:val="28"/>
          <w:szCs w:val="28"/>
          <w:highlight w:val="none"/>
          <w:u w:val="single"/>
          <w:lang w:val="en-US" w:eastAsia="zh-CN"/>
        </w:rPr>
        <w:t>2</w:t>
      </w:r>
      <w:r>
        <w:rPr>
          <w:rFonts w:hint="eastAsia" w:ascii="仿宋" w:hAnsi="仿宋" w:eastAsia="仿宋" w:cs="仿宋_GB2312"/>
          <w:b w:val="0"/>
          <w:bCs w:val="0"/>
          <w:sz w:val="28"/>
          <w:szCs w:val="28"/>
          <w:highlight w:val="none"/>
          <w:u w:val="single"/>
          <w:lang w:val="en-US" w:eastAsia="zh-CN"/>
        </w:rPr>
        <w:t>包（砌块材料使用）生石灰</w:t>
      </w:r>
      <w:r>
        <w:rPr>
          <w:rFonts w:hint="eastAsia" w:ascii="仿宋" w:hAnsi="仿宋" w:eastAsia="仿宋" w:cs="仿宋_GB2312"/>
          <w:sz w:val="28"/>
          <w:szCs w:val="28"/>
          <w:highlight w:val="none"/>
          <w:u w:val="single"/>
          <w:lang w:val="en-US" w:eastAsia="zh-CN"/>
        </w:rPr>
        <w:t>：要求石灰消解后无水，外观尺寸5cm-15cm,占比大于70%。生石灰化学成分和物理性能试验方法按JC/T478-2013进行，加气混凝土生石灰消化速度应为7min-15min,消解温度为70℃-90℃，有效钙质量分数≥70%。</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（3）若达不到招标人要求的，中标人无条件将该批货物拉回且不计货款，同时卖</w:t>
      </w:r>
      <w:r>
        <w:rPr>
          <w:rFonts w:hint="eastAsia" w:ascii="仿宋" w:hAnsi="仿宋" w:eastAsia="仿宋" w:cs="仿宋_GB2312"/>
          <w:color w:val="000000" w:themeColor="text1"/>
          <w:sz w:val="28"/>
          <w:szCs w:val="28"/>
          <w:lang w:val="en-US" w:eastAsia="zh-CN"/>
          <w14:textFill>
            <w14:solidFill>
              <w14:schemeClr w14:val="tx1"/>
            </w14:solidFill>
          </w14:textFill>
        </w:rPr>
        <w:t>方承担运费及</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100</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元</w:t>
      </w:r>
      <w:r>
        <w:rPr>
          <w:rFonts w:hint="eastAsia" w:ascii="仿宋" w:hAnsi="仿宋" w:eastAsia="仿宋" w:cs="仿宋_GB2312"/>
          <w:sz w:val="28"/>
          <w:szCs w:val="28"/>
          <w:lang w:val="en-US" w:eastAsia="zh-CN"/>
        </w:rPr>
        <w:t>/车装车费用。</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pPr>
        <w:ind w:firstLine="560" w:firstLineChars="200"/>
        <w:jc w:val="left"/>
        <w:rPr>
          <w:rFonts w:hint="eastAsia" w:ascii="仿宋" w:hAnsi="仿宋" w:eastAsia="仿宋" w:cs="仿宋_GB2312"/>
          <w:sz w:val="28"/>
          <w:szCs w:val="28"/>
          <w:u w:val="single"/>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u w:val="single"/>
          <w:lang w:eastAsia="zh-CN"/>
        </w:rPr>
      </w:pPr>
      <w:r>
        <w:rPr>
          <w:rFonts w:hint="eastAsia" w:ascii="仿宋" w:hAnsi="仿宋" w:eastAsia="仿宋" w:cs="仿宋_GB2312"/>
          <w:sz w:val="28"/>
          <w:szCs w:val="28"/>
          <w:u w:val="single"/>
        </w:rPr>
        <w:t>材料送至铜冠建材公司仓库</w:t>
      </w:r>
      <w:r>
        <w:rPr>
          <w:rFonts w:hint="eastAsia" w:ascii="仿宋" w:hAnsi="仿宋" w:eastAsia="仿宋" w:cs="仿宋_GB2312"/>
          <w:sz w:val="28"/>
          <w:szCs w:val="28"/>
          <w:u w:val="single"/>
          <w:lang w:eastAsia="zh-CN"/>
        </w:rPr>
        <w:t>。</w:t>
      </w:r>
    </w:p>
    <w:p>
      <w:pPr>
        <w:ind w:firstLine="280" w:firstLineChars="100"/>
        <w:rPr>
          <w:rFonts w:ascii="仿宋" w:hAnsi="仿宋" w:eastAsia="仿宋" w:cs="仿宋_GB2312"/>
          <w:sz w:val="28"/>
          <w:szCs w:val="28"/>
          <w:u w:val="single"/>
        </w:rPr>
      </w:pP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本次招标的材料由中标人负责运输。运输过程中未按相关安全、环保等要求所导致的一切安全</w:t>
      </w:r>
      <w:r>
        <w:rPr>
          <w:rFonts w:hint="eastAsia" w:ascii="仿宋" w:hAnsi="仿宋" w:eastAsia="仿宋" w:cs="仿宋_GB2312"/>
          <w:sz w:val="28"/>
          <w:szCs w:val="28"/>
          <w:u w:val="single"/>
          <w:lang w:eastAsia="zh-CN"/>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u w:val="single"/>
          <w14:textFill>
            <w14:solidFill>
              <w14:schemeClr w14:val="tx1"/>
            </w14:solidFill>
          </w14:textFill>
        </w:rPr>
        <w:t>事故由中标人</w:t>
      </w:r>
      <w:r>
        <w:rPr>
          <w:rFonts w:hint="eastAsia" w:ascii="仿宋" w:hAnsi="仿宋" w:eastAsia="仿宋" w:cs="仿宋_GB2312"/>
          <w:sz w:val="28"/>
          <w:szCs w:val="28"/>
          <w:u w:val="single"/>
        </w:rPr>
        <w:t>承担责任。</w:t>
      </w:r>
    </w:p>
    <w:p>
      <w:p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本次招标</w:t>
      </w:r>
      <w:r>
        <w:rPr>
          <w:rFonts w:hint="eastAsia" w:ascii="仿宋" w:hAnsi="仿宋" w:eastAsia="仿宋" w:cs="仿宋"/>
          <w:sz w:val="28"/>
          <w:szCs w:val="28"/>
          <w:highlight w:val="none"/>
          <w:u w:val="none"/>
          <w:lang w:val="en-US" w:eastAsia="zh-CN"/>
        </w:rPr>
        <w:t>的生石灰、粉石灰需经建材公司</w:t>
      </w:r>
      <w:r>
        <w:rPr>
          <w:rFonts w:hint="eastAsia" w:ascii="仿宋" w:hAnsi="仿宋" w:eastAsia="仿宋" w:cs="仿宋"/>
          <w:sz w:val="28"/>
          <w:szCs w:val="28"/>
          <w:highlight w:val="none"/>
          <w:u w:val="none"/>
        </w:rPr>
        <w:t>磅房过磅计量为准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卖方对计量数量有异议时，需在买方磅房过磅时提出，双方派人共同复核并查清原因后协商解决</w:t>
      </w:r>
      <w:r>
        <w:rPr>
          <w:rFonts w:hint="eastAsia" w:ascii="仿宋" w:hAnsi="仿宋" w:eastAsia="仿宋" w:cs="仿宋"/>
          <w:sz w:val="28"/>
          <w:szCs w:val="28"/>
          <w:highlight w:val="none"/>
          <w:u w:val="none"/>
          <w:lang w:eastAsia="zh-CN"/>
        </w:rPr>
        <w:t>。</w:t>
      </w:r>
    </w:p>
    <w:p>
      <w:pPr>
        <w:ind w:firstLine="280" w:firstLineChars="1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8、生石灰和粉石灰检验方式：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（1）质量要求：卖方材料入场时需附带出厂合格证、检测报告或第三方检测报告。</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（2）取样和检测：卖方可全程参与取样检测过程。</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
          <w:sz w:val="28"/>
          <w:szCs w:val="28"/>
          <w:lang w:val="en-US" w:eastAsia="zh-CN"/>
        </w:rPr>
        <w:t>（3）检测内容：铜冠建材技术中心检测消化速度、消化温度</w:t>
      </w:r>
      <w:r>
        <w:rPr>
          <w:rFonts w:hint="eastAsia" w:ascii="仿宋" w:hAnsi="仿宋" w:eastAsia="仿宋" w:cs="仿宋_GB2312"/>
          <w:sz w:val="28"/>
          <w:szCs w:val="28"/>
          <w:lang w:val="en-US" w:eastAsia="zh-CN"/>
        </w:rPr>
        <w:t>以及有效氧化钙指标（备注粉状石灰检测细度指标）。</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（4）检测方法：整车倒下，综合取样检测，采用</w:t>
      </w:r>
      <w:r>
        <w:rPr>
          <w:rFonts w:hint="eastAsia" w:ascii="仿宋" w:hAnsi="仿宋" w:eastAsia="仿宋" w:cs="仿宋_GB2312"/>
          <w:b/>
          <w:bCs/>
          <w:sz w:val="28"/>
          <w:szCs w:val="28"/>
          <w:lang w:val="en-US" w:eastAsia="zh-CN"/>
        </w:rPr>
        <w:t>JC/T478-2013</w:t>
      </w:r>
      <w:r>
        <w:rPr>
          <w:rFonts w:hint="eastAsia" w:ascii="仿宋" w:hAnsi="仿宋" w:eastAsia="仿宋" w:cs="仿宋_GB2312"/>
          <w:sz w:val="28"/>
          <w:szCs w:val="28"/>
          <w:lang w:val="en-US" w:eastAsia="zh-CN"/>
        </w:rPr>
        <w:t>标准中石灰检测方法检测，</w:t>
      </w:r>
      <w:r>
        <w:rPr>
          <w:rFonts w:hint="eastAsia" w:ascii="仿宋" w:hAnsi="仿宋" w:eastAsia="仿宋" w:cs="仿宋_GB2312"/>
          <w:b/>
          <w:bCs/>
          <w:sz w:val="28"/>
          <w:szCs w:val="28"/>
          <w:u w:val="single"/>
          <w:lang w:val="en-US" w:eastAsia="zh-CN"/>
        </w:rPr>
        <w:t>2</w:t>
      </w:r>
      <w:r>
        <w:rPr>
          <w:rFonts w:hint="eastAsia" w:ascii="仿宋" w:hAnsi="仿宋" w:eastAsia="仿宋" w:cs="仿宋_GB2312"/>
          <w:sz w:val="28"/>
          <w:szCs w:val="28"/>
          <w:lang w:val="en-US" w:eastAsia="zh-CN"/>
        </w:rPr>
        <w:t>小时出具检测结果。检测合格，验收入库，如检测不合格，立即退货，卖</w:t>
      </w:r>
      <w:r>
        <w:rPr>
          <w:rFonts w:hint="eastAsia" w:ascii="仿宋" w:hAnsi="仿宋" w:eastAsia="仿宋" w:cs="仿宋_GB2312"/>
          <w:color w:val="000000" w:themeColor="text1"/>
          <w:sz w:val="28"/>
          <w:szCs w:val="28"/>
          <w:lang w:val="en-US" w:eastAsia="zh-CN"/>
          <w14:textFill>
            <w14:solidFill>
              <w14:schemeClr w14:val="tx1"/>
            </w14:solidFill>
          </w14:textFill>
        </w:rPr>
        <w:t>方承担运费及</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100</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元</w:t>
      </w:r>
      <w:r>
        <w:rPr>
          <w:rFonts w:hint="eastAsia" w:ascii="仿宋" w:hAnsi="仿宋" w:eastAsia="仿宋" w:cs="仿宋_GB2312"/>
          <w:sz w:val="28"/>
          <w:szCs w:val="28"/>
          <w:lang w:val="en-US" w:eastAsia="zh-CN"/>
        </w:rPr>
        <w:t>/车装车费用。</w:t>
      </w: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lang w:val="en-US" w:eastAsia="zh-CN"/>
        </w:rPr>
        <w:t>（5）检测结果处置：若双方检测数据差异不大且双方都能接受则以买方检测报告为准，若双方检测数据偏差较大，送第三方检测机构检测。产品经检测不满足质量要求，则退货处理。</w:t>
      </w:r>
    </w:p>
    <w:p>
      <w:pPr>
        <w:numPr>
          <w:ilvl w:val="0"/>
          <w:numId w:val="0"/>
        </w:numPr>
        <w:ind w:firstLine="560" w:firstLineChars="200"/>
        <w:rPr>
          <w:rFonts w:hint="eastAsia" w:ascii="仿宋" w:hAnsi="仿宋" w:eastAsia="仿宋" w:cs="仿宋_GB2312"/>
          <w:sz w:val="28"/>
          <w:szCs w:val="28"/>
          <w:u w:val="none"/>
        </w:rPr>
      </w:pPr>
      <w:r>
        <w:rPr>
          <w:rFonts w:hint="eastAsia" w:ascii="仿宋" w:hAnsi="仿宋" w:eastAsia="仿宋" w:cs="仿宋_GB2312"/>
          <w:sz w:val="28"/>
          <w:szCs w:val="28"/>
          <w:u w:val="none"/>
          <w:lang w:val="en-US" w:eastAsia="zh-CN"/>
        </w:rPr>
        <w:t>9、需方因生产需要，要</w:t>
      </w:r>
      <w:r>
        <w:rPr>
          <w:rFonts w:hint="eastAsia" w:ascii="仿宋" w:hAnsi="仿宋" w:eastAsia="仿宋" w:cs="仿宋_GB2312"/>
          <w:sz w:val="28"/>
          <w:szCs w:val="28"/>
          <w:u w:val="none"/>
        </w:rPr>
        <w:t>求</w:t>
      </w:r>
      <w:r>
        <w:rPr>
          <w:rFonts w:hint="eastAsia" w:ascii="仿宋" w:hAnsi="仿宋" w:eastAsia="仿宋" w:cs="仿宋_GB2312"/>
          <w:sz w:val="28"/>
          <w:szCs w:val="28"/>
          <w:u w:val="none"/>
          <w:lang w:val="en-US" w:eastAsia="zh-CN"/>
        </w:rPr>
        <w:t>每天按需供货，</w:t>
      </w:r>
      <w:r>
        <w:rPr>
          <w:rFonts w:hint="eastAsia" w:ascii="仿宋" w:hAnsi="仿宋" w:eastAsia="仿宋" w:cs="仿宋_GB2312"/>
          <w:sz w:val="28"/>
          <w:szCs w:val="28"/>
          <w:u w:val="none"/>
        </w:rPr>
        <w:t>供方需保证</w:t>
      </w:r>
      <w:r>
        <w:rPr>
          <w:rFonts w:hint="eastAsia" w:ascii="仿宋" w:hAnsi="仿宋" w:eastAsia="仿宋" w:cs="仿宋_GB2312"/>
          <w:b/>
          <w:bCs/>
          <w:sz w:val="28"/>
          <w:szCs w:val="28"/>
          <w:u w:val="none"/>
        </w:rPr>
        <w:t>24</w:t>
      </w:r>
      <w:r>
        <w:rPr>
          <w:rFonts w:hint="eastAsia" w:ascii="仿宋" w:hAnsi="仿宋" w:eastAsia="仿宋" w:cs="仿宋_GB2312"/>
          <w:sz w:val="28"/>
          <w:szCs w:val="28"/>
          <w:u w:val="none"/>
        </w:rPr>
        <w:t>小时供货能力。如遇设备检修、停产等特殊情况，送货时间另行通知。</w:t>
      </w:r>
    </w:p>
    <w:p>
      <w:pPr>
        <w:numPr>
          <w:ilvl w:val="0"/>
          <w:numId w:val="0"/>
        </w:numPr>
        <w:ind w:firstLine="560" w:firstLineChars="200"/>
        <w:rPr>
          <w:rFonts w:hint="eastAsia" w:ascii="仿宋_GB2312" w:hAnsi="仿宋_GB2312" w:eastAsia="仿宋_GB2312" w:cs="仿宋_GB2312"/>
          <w:sz w:val="28"/>
          <w:szCs w:val="28"/>
          <w:u w:val="none"/>
        </w:rPr>
      </w:pPr>
      <w:r>
        <w:rPr>
          <w:rFonts w:hint="eastAsia" w:ascii="仿宋" w:hAnsi="仿宋" w:eastAsia="仿宋" w:cs="仿宋_GB2312"/>
          <w:sz w:val="28"/>
          <w:szCs w:val="28"/>
          <w:u w:val="none"/>
          <w:lang w:val="en-US" w:eastAsia="zh-CN"/>
        </w:rPr>
        <w:t>10、标的物数量为</w:t>
      </w:r>
      <w:r>
        <w:rPr>
          <w:rFonts w:hint="eastAsia" w:ascii="仿宋" w:hAnsi="仿宋" w:eastAsia="仿宋" w:cs="仿宋_GB2312"/>
          <w:b/>
          <w:bCs/>
          <w:sz w:val="28"/>
          <w:szCs w:val="28"/>
          <w:u w:val="single"/>
          <w:lang w:val="en-US" w:eastAsia="zh-CN"/>
        </w:rPr>
        <w:t>3</w:t>
      </w:r>
      <w:r>
        <w:rPr>
          <w:rFonts w:hint="eastAsia" w:ascii="仿宋" w:hAnsi="仿宋" w:eastAsia="仿宋" w:cs="仿宋_GB2312"/>
          <w:sz w:val="28"/>
          <w:szCs w:val="28"/>
          <w:u w:val="none"/>
          <w:lang w:val="en-US" w:eastAsia="zh-CN"/>
        </w:rPr>
        <w:t>个月的预估量，合同执行时间为</w:t>
      </w:r>
      <w:r>
        <w:rPr>
          <w:rFonts w:hint="eastAsia" w:ascii="仿宋" w:hAnsi="仿宋" w:eastAsia="仿宋" w:cs="仿宋_GB2312"/>
          <w:b/>
          <w:bCs/>
          <w:sz w:val="28"/>
          <w:szCs w:val="28"/>
          <w:u w:val="single"/>
          <w:lang w:val="en-US" w:eastAsia="zh-CN"/>
        </w:rPr>
        <w:t>2021年1月1日至2021年6月30日</w:t>
      </w:r>
      <w:r>
        <w:rPr>
          <w:rFonts w:hint="eastAsia" w:ascii="仿宋" w:hAnsi="仿宋" w:eastAsia="仿宋" w:cs="仿宋_GB2312"/>
          <w:sz w:val="28"/>
          <w:szCs w:val="28"/>
          <w:u w:val="none"/>
          <w:lang w:val="en-US" w:eastAsia="zh-CN"/>
        </w:rPr>
        <w:t>（按需方通知分批供货），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11、本次招标的</w:t>
      </w:r>
      <w:r>
        <w:rPr>
          <w:rFonts w:hint="eastAsia" w:ascii="仿宋" w:hAnsi="仿宋" w:eastAsia="仿宋" w:cs="仿宋_GB2312"/>
          <w:sz w:val="28"/>
          <w:szCs w:val="28"/>
        </w:rPr>
        <w:t>履约保证金金额为人民币</w:t>
      </w:r>
      <w:r>
        <w:rPr>
          <w:rFonts w:hint="eastAsia" w:ascii="仿宋" w:hAnsi="仿宋" w:eastAsia="仿宋" w:cs="仿宋_GB2312"/>
          <w:b/>
          <w:bCs/>
          <w:sz w:val="28"/>
          <w:szCs w:val="28"/>
          <w:u w:val="single"/>
          <w:lang w:eastAsia="zh-CN"/>
        </w:rPr>
        <w:t>伍</w:t>
      </w:r>
      <w:r>
        <w:rPr>
          <w:rFonts w:hint="eastAsia" w:ascii="仿宋" w:hAnsi="仿宋" w:eastAsia="仿宋" w:cs="仿宋_GB2312"/>
          <w:b/>
          <w:bCs/>
          <w:sz w:val="28"/>
          <w:szCs w:val="28"/>
          <w:u w:val="single"/>
        </w:rPr>
        <w:t>万元整</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可从应付货款中扣除</w:t>
      </w:r>
      <w:r>
        <w:rPr>
          <w:rFonts w:hint="eastAsia" w:ascii="仿宋" w:hAnsi="仿宋" w:eastAsia="仿宋" w:cs="仿宋_GB2312"/>
          <w:sz w:val="28"/>
          <w:szCs w:val="28"/>
          <w:lang w:eastAsia="zh-CN"/>
        </w:rPr>
        <w:t>）</w:t>
      </w:r>
      <w:r>
        <w:rPr>
          <w:rFonts w:hint="eastAsia" w:ascii="仿宋" w:hAnsi="仿宋" w:eastAsia="仿宋" w:cs="仿宋_GB2312"/>
          <w:sz w:val="28"/>
          <w:szCs w:val="28"/>
        </w:rPr>
        <w:t>。除不可抗力因素外，若不能正常履约，除</w:t>
      </w:r>
      <w:r>
        <w:rPr>
          <w:rFonts w:hint="eastAsia" w:ascii="仿宋" w:hAnsi="仿宋" w:eastAsia="仿宋" w:cs="仿宋_GB2312"/>
          <w:sz w:val="28"/>
          <w:szCs w:val="28"/>
          <w:lang w:val="en-US" w:eastAsia="zh-CN"/>
        </w:rPr>
        <w:t>终</w:t>
      </w:r>
      <w:r>
        <w:rPr>
          <w:rFonts w:hint="eastAsia" w:ascii="仿宋" w:hAnsi="仿宋" w:eastAsia="仿宋" w:cs="仿宋_GB2312"/>
          <w:sz w:val="28"/>
          <w:szCs w:val="28"/>
        </w:rPr>
        <w:t>止合同外，保证金不予返还。中标人需向买方</w:t>
      </w:r>
      <w:r>
        <w:rPr>
          <w:rFonts w:hint="eastAsia" w:ascii="仿宋" w:hAnsi="仿宋" w:eastAsia="仿宋" w:cs="仿宋_GB2312"/>
          <w:sz w:val="28"/>
          <w:szCs w:val="28"/>
          <w:lang w:val="en-US" w:eastAsia="zh-CN"/>
        </w:rPr>
        <w:t>办理完</w:t>
      </w:r>
      <w:r>
        <w:rPr>
          <w:rFonts w:hint="eastAsia" w:ascii="仿宋" w:hAnsi="仿宋" w:eastAsia="仿宋" w:cs="仿宋_GB2312"/>
          <w:sz w:val="28"/>
          <w:szCs w:val="28"/>
        </w:rPr>
        <w:t>履约保证金后方可与买方签订合同供货合同。</w:t>
      </w:r>
    </w:p>
    <w:p>
      <w:pPr>
        <w:numPr>
          <w:ilvl w:val="0"/>
          <w:numId w:val="0"/>
        </w:numPr>
        <w:ind w:firstLine="560" w:firstLineChars="200"/>
        <w:jc w:val="both"/>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12、</w:t>
      </w:r>
      <w:r>
        <w:rPr>
          <w:rFonts w:hint="eastAsia" w:ascii="仿宋" w:hAnsi="仿宋" w:eastAsia="仿宋" w:cs="仿宋_GB2312"/>
          <w:sz w:val="28"/>
          <w:szCs w:val="28"/>
          <w:lang w:val="zh-CN" w:eastAsia="zh-CN"/>
        </w:rPr>
        <w:t>中标后，所签经济合同为闭口合同，其</w:t>
      </w:r>
      <w:r>
        <w:rPr>
          <w:rFonts w:hint="eastAsia" w:ascii="仿宋" w:hAnsi="仿宋" w:eastAsia="仿宋" w:cs="仿宋_GB2312"/>
          <w:sz w:val="28"/>
          <w:szCs w:val="28"/>
          <w:lang w:val="en-US" w:eastAsia="zh-CN"/>
        </w:rPr>
        <w:t>不含税</w:t>
      </w:r>
      <w:r>
        <w:rPr>
          <w:rFonts w:hint="eastAsia" w:ascii="仿宋" w:hAnsi="仿宋" w:eastAsia="仿宋" w:cs="仿宋_GB2312"/>
          <w:sz w:val="28"/>
          <w:szCs w:val="28"/>
          <w:lang w:val="zh-CN" w:eastAsia="zh-CN"/>
        </w:rPr>
        <w:t>价格不随市场行情变动。如果市场行情变化不大的前提下，经双方协商，可续签下一周期合同。</w:t>
      </w:r>
    </w:p>
    <w:p>
      <w:pPr>
        <w:numPr>
          <w:ilvl w:val="0"/>
          <w:numId w:val="0"/>
        </w:numPr>
        <w:ind w:firstLine="560" w:firstLineChars="2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lang w:val="en-US" w:eastAsia="zh-CN"/>
        </w:rPr>
        <w:t>13、本次招标设置最高控制价，凡高于最高控制价的报价均无效。</w:t>
      </w:r>
    </w:p>
    <w:p>
      <w:pPr>
        <w:numPr>
          <w:ilvl w:val="0"/>
          <w:numId w:val="0"/>
        </w:numPr>
        <w:ind w:firstLine="560" w:firstLineChars="200"/>
        <w:jc w:val="both"/>
        <w:rPr>
          <w:rFonts w:hint="default"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u w:val="none"/>
          <w:lang w:val="en-US" w:eastAsia="zh-CN"/>
        </w:rPr>
        <w:t>14、为了保障生石灰的稳定供应，本次招标将推荐</w:t>
      </w:r>
      <w:r>
        <w:rPr>
          <w:rFonts w:hint="eastAsia" w:ascii="仿宋" w:hAnsi="仿宋" w:eastAsia="仿宋" w:cs="仿宋_GB2312"/>
          <w:b/>
          <w:bCs/>
          <w:sz w:val="28"/>
          <w:szCs w:val="28"/>
          <w:highlight w:val="none"/>
          <w:u w:val="none"/>
          <w:lang w:val="en-US" w:eastAsia="zh-CN"/>
        </w:rPr>
        <w:t>2</w:t>
      </w:r>
      <w:r>
        <w:rPr>
          <w:rFonts w:hint="eastAsia" w:ascii="仿宋" w:hAnsi="仿宋" w:eastAsia="仿宋" w:cs="仿宋_GB2312"/>
          <w:b w:val="0"/>
          <w:bCs w:val="0"/>
          <w:sz w:val="28"/>
          <w:szCs w:val="28"/>
          <w:highlight w:val="none"/>
          <w:u w:val="none"/>
          <w:lang w:val="en-US" w:eastAsia="zh-CN"/>
        </w:rPr>
        <w:t>名中标候选人（</w:t>
      </w:r>
      <w:r>
        <w:rPr>
          <w:rFonts w:hint="eastAsia" w:ascii="仿宋" w:hAnsi="仿宋" w:eastAsia="仿宋" w:cs="仿宋_GB2312"/>
          <w:sz w:val="28"/>
          <w:szCs w:val="28"/>
          <w:highlight w:val="none"/>
          <w:u w:val="none"/>
          <w:lang w:val="en-US" w:eastAsia="zh-CN"/>
        </w:rPr>
        <w:t>详见“评标及中标履约要求”</w:t>
      </w:r>
      <w:r>
        <w:rPr>
          <w:rFonts w:hint="eastAsia" w:ascii="仿宋" w:hAnsi="仿宋" w:eastAsia="仿宋" w:cs="仿宋_GB2312"/>
          <w:b w:val="0"/>
          <w:bCs w:val="0"/>
          <w:sz w:val="28"/>
          <w:szCs w:val="28"/>
          <w:highlight w:val="none"/>
          <w:lang w:val="en-US" w:eastAsia="zh-CN"/>
        </w:rPr>
        <w:t>）</w:t>
      </w:r>
      <w:r>
        <w:rPr>
          <w:rFonts w:hint="eastAsia" w:ascii="仿宋" w:hAnsi="仿宋" w:eastAsia="仿宋" w:cs="仿宋_GB2312"/>
          <w:b w:val="0"/>
          <w:bCs w:val="0"/>
          <w:sz w:val="28"/>
          <w:szCs w:val="28"/>
          <w:lang w:val="en-US" w:eastAsia="zh-CN"/>
        </w:rPr>
        <w:t>。</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八</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w:t>
      </w:r>
      <w:r>
        <w:rPr>
          <w:rFonts w:hint="eastAsia" w:ascii="仿宋" w:hAnsi="仿宋" w:eastAsia="仿宋" w:cs="仿宋_GB2312"/>
          <w:sz w:val="28"/>
          <w:szCs w:val="28"/>
          <w:highlight w:val="none"/>
          <w:u w:val="single"/>
          <w:lang w:eastAsia="zh-CN"/>
        </w:rPr>
        <w:t>标</w:t>
      </w:r>
      <w:r>
        <w:rPr>
          <w:rFonts w:hint="eastAsia" w:ascii="仿宋" w:hAnsi="仿宋" w:eastAsia="仿宋" w:cs="仿宋_GB2312"/>
          <w:sz w:val="28"/>
          <w:szCs w:val="28"/>
          <w:highlight w:val="none"/>
          <w:u w:val="single"/>
        </w:rPr>
        <w:t>委</w:t>
      </w:r>
      <w:r>
        <w:rPr>
          <w:rFonts w:hint="eastAsia" w:ascii="仿宋" w:hAnsi="仿宋" w:eastAsia="仿宋" w:cs="仿宋_GB2312"/>
          <w:sz w:val="28"/>
          <w:szCs w:val="28"/>
          <w:highlight w:val="none"/>
          <w:u w:val="single"/>
          <w:lang w:eastAsia="zh-CN"/>
        </w:rPr>
        <w:t>员</w:t>
      </w:r>
      <w:r>
        <w:rPr>
          <w:rFonts w:hint="eastAsia" w:ascii="仿宋" w:hAnsi="仿宋" w:eastAsia="仿宋" w:cs="仿宋_GB2312"/>
          <w:sz w:val="28"/>
          <w:szCs w:val="28"/>
          <w:highlight w:val="none"/>
          <w:u w:val="single"/>
        </w:rPr>
        <w:t>会审核，剔</w:t>
      </w:r>
      <w:r>
        <w:rPr>
          <w:rFonts w:hint="eastAsia" w:ascii="仿宋" w:hAnsi="仿宋" w:eastAsia="仿宋" w:cs="仿宋_GB2312"/>
          <w:sz w:val="28"/>
          <w:szCs w:val="28"/>
          <w:u w:val="single"/>
        </w:rPr>
        <w:t>除偏离市场行情较大的恶意报价后的报价进行排序，</w:t>
      </w:r>
      <w:r>
        <w:rPr>
          <w:rFonts w:hint="eastAsia" w:ascii="仿宋" w:hAnsi="仿宋" w:eastAsia="仿宋" w:cs="仿宋_GB2312"/>
          <w:sz w:val="28"/>
          <w:szCs w:val="28"/>
          <w:u w:val="single"/>
          <w:lang w:eastAsia="zh-CN"/>
        </w:rPr>
        <w:t>确定</w:t>
      </w:r>
      <w:r>
        <w:rPr>
          <w:rFonts w:hint="eastAsia" w:ascii="仿宋_GB2312" w:hAnsi="仿宋_GB2312" w:eastAsia="仿宋_GB2312" w:cs="仿宋_GB2312"/>
          <w:b w:val="0"/>
          <w:bCs/>
          <w:sz w:val="28"/>
          <w:szCs w:val="28"/>
          <w:u w:val="single"/>
          <w:lang w:val="en-US" w:eastAsia="zh-CN"/>
        </w:rPr>
        <w:t>最低价和次低价为</w:t>
      </w:r>
      <w:r>
        <w:rPr>
          <w:rFonts w:hint="eastAsia" w:ascii="仿宋" w:hAnsi="仿宋" w:eastAsia="仿宋" w:cs="仿宋_GB2312"/>
          <w:sz w:val="28"/>
          <w:szCs w:val="28"/>
          <w:u w:val="single"/>
        </w:rPr>
        <w:t>预中标单位</w:t>
      </w:r>
      <w:r>
        <w:rPr>
          <w:rFonts w:hint="eastAsia" w:ascii="仿宋" w:hAnsi="仿宋" w:eastAsia="仿宋" w:cs="仿宋_GB2312"/>
          <w:sz w:val="28"/>
          <w:szCs w:val="28"/>
          <w:u w:val="single"/>
          <w:lang w:eastAsia="zh-CN"/>
        </w:rPr>
        <w:t>（</w:t>
      </w:r>
      <w:r>
        <w:rPr>
          <w:rFonts w:hint="eastAsia" w:ascii="仿宋_GB2312" w:hAnsi="仿宋_GB2312" w:eastAsia="仿宋_GB2312" w:cs="仿宋_GB2312"/>
          <w:b w:val="0"/>
          <w:bCs/>
          <w:sz w:val="28"/>
          <w:szCs w:val="28"/>
          <w:u w:val="single"/>
          <w:lang w:val="en-US" w:eastAsia="zh-CN"/>
        </w:rPr>
        <w:t>次低价须同意以最低价执行供应，如次低价不同意以最低价供应，再看次次低价是否同意，以此类推，确定另一预中标单位</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bCs/>
          <w:sz w:val="28"/>
          <w:szCs w:val="28"/>
          <w:u w:val="single"/>
          <w:lang w:val="en-US" w:eastAsia="zh-CN"/>
        </w:rPr>
        <w:t>2</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sz w:val="28"/>
          <w:szCs w:val="28"/>
        </w:rPr>
      </w:pPr>
      <w:r>
        <w:rPr>
          <w:rFonts w:hint="eastAsia"/>
          <w:sz w:val="24"/>
        </w:rPr>
        <w:t>年   月   日</w:t>
      </w:r>
    </w:p>
    <w:p>
      <w:pPr>
        <w:spacing w:line="600" w:lineRule="exact"/>
        <w:rPr>
          <w:rFonts w:hint="eastAsia"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十一、报价单</w:t>
      </w:r>
    </w:p>
    <w:p>
      <w:pPr>
        <w:numPr>
          <w:ilvl w:val="0"/>
          <w:numId w:val="0"/>
        </w:numPr>
        <w:spacing w:line="600" w:lineRule="exact"/>
        <w:ind w:leftChars="0"/>
        <w:jc w:val="both"/>
        <w:rPr>
          <w:rFonts w:hint="eastAsia" w:ascii="仿宋" w:hAnsi="仿宋" w:eastAsia="仿宋" w:cs="仿宋_GB2312"/>
          <w:b/>
          <w:sz w:val="36"/>
          <w:szCs w:val="36"/>
          <w:lang w:eastAsia="zh-CN"/>
        </w:rPr>
      </w:pP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2024</w:t>
      </w:r>
      <w:r>
        <w:rPr>
          <w:rFonts w:hint="eastAsia" w:ascii="仿宋_GB2312" w:eastAsia="仿宋_GB2312"/>
          <w:b/>
          <w:sz w:val="30"/>
          <w:szCs w:val="30"/>
        </w:rPr>
        <w:t>）</w:t>
      </w:r>
      <w:r>
        <w:rPr>
          <w:rFonts w:hint="eastAsia" w:ascii="仿宋_GB2312" w:eastAsia="仿宋_GB2312"/>
          <w:b/>
          <w:sz w:val="30"/>
          <w:szCs w:val="30"/>
          <w:lang w:val="en-US" w:eastAsia="zh-CN"/>
        </w:rPr>
        <w:t>1包</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737"/>
        <w:gridCol w:w="3825"/>
        <w:gridCol w:w="885"/>
        <w:gridCol w:w="1125"/>
        <w:gridCol w:w="1065"/>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737"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382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85"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125"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1065"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737"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生石灰 （胶凝材料使用）</w:t>
            </w:r>
          </w:p>
        </w:tc>
        <w:tc>
          <w:tcPr>
            <w:tcW w:w="3825" w:type="dxa"/>
            <w:vMerge w:val="restart"/>
            <w:noWrap w:val="0"/>
            <w:vAlign w:val="center"/>
          </w:tcPr>
          <w:p>
            <w:pPr>
              <w:jc w:val="left"/>
              <w:rPr>
                <w:rFonts w:hint="eastAsia" w:ascii="仿宋_GB2312" w:eastAsia="仿宋_GB2312"/>
                <w:sz w:val="24"/>
                <w:lang w:val="en-US" w:eastAsia="zh-CN"/>
              </w:rPr>
            </w:pPr>
            <w:r>
              <w:rPr>
                <w:rFonts w:hint="eastAsia" w:ascii="仿宋" w:hAnsi="仿宋" w:eastAsia="仿宋" w:cs="仿宋_GB2312"/>
                <w:sz w:val="24"/>
                <w:szCs w:val="24"/>
                <w:highlight w:val="none"/>
                <w:u w:val="none"/>
                <w:lang w:val="en-US" w:eastAsia="zh-CN"/>
              </w:rPr>
              <w:t>要求块状石灰消解后无水，外观尺寸1cm-5cm,占比大于90%。生石灰化学成分和物理性能试验方法按JC/T478-2013进行，胶凝材生石灰消化速度应为1min-5min,有效钙质量分数≥85%</w:t>
            </w:r>
            <w:bookmarkStart w:id="0" w:name="_GoBack"/>
            <w:bookmarkEnd w:id="0"/>
            <w:r>
              <w:rPr>
                <w:rFonts w:hint="eastAsia" w:ascii="仿宋" w:hAnsi="仿宋" w:eastAsia="仿宋" w:cs="仿宋_GB2312"/>
                <w:sz w:val="24"/>
                <w:szCs w:val="24"/>
                <w:highlight w:val="none"/>
                <w:u w:val="none"/>
                <w:lang w:val="en-US" w:eastAsia="zh-CN"/>
              </w:rPr>
              <w:t>。</w:t>
            </w:r>
          </w:p>
        </w:tc>
        <w:tc>
          <w:tcPr>
            <w:tcW w:w="88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125"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1000</w:t>
            </w:r>
          </w:p>
        </w:tc>
        <w:tc>
          <w:tcPr>
            <w:tcW w:w="1065"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vMerge w:val="restart"/>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7" w:type="dxa"/>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737"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粉石灰（胶凝材料使用）</w:t>
            </w:r>
          </w:p>
        </w:tc>
        <w:tc>
          <w:tcPr>
            <w:tcW w:w="3825" w:type="dxa"/>
            <w:vMerge w:val="continue"/>
            <w:noWrap w:val="0"/>
            <w:vAlign w:val="center"/>
          </w:tcPr>
          <w:p>
            <w:pPr>
              <w:jc w:val="left"/>
              <w:rPr>
                <w:rFonts w:hint="eastAsia" w:ascii="仿宋_GB2312" w:eastAsia="仿宋_GB2312"/>
                <w:sz w:val="24"/>
                <w:lang w:val="en-US" w:eastAsia="zh-CN"/>
              </w:rPr>
            </w:pPr>
          </w:p>
        </w:tc>
        <w:tc>
          <w:tcPr>
            <w:tcW w:w="88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125"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500</w:t>
            </w:r>
          </w:p>
        </w:tc>
        <w:tc>
          <w:tcPr>
            <w:tcW w:w="1065"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jc w:val="center"/>
              <w:rPr>
                <w:rFonts w:hint="eastAsia" w:ascii="仿宋_GB2312" w:eastAsia="仿宋_GB2312"/>
                <w:sz w:val="24"/>
              </w:rPr>
            </w:pPr>
          </w:p>
        </w:tc>
        <w:tc>
          <w:tcPr>
            <w:tcW w:w="2078" w:type="dxa"/>
            <w:vMerge w:val="continue"/>
            <w:noWrap w:val="0"/>
            <w:vAlign w:val="center"/>
          </w:tcPr>
          <w:p>
            <w:pPr>
              <w:widowControl w:val="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737"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3825" w:type="dxa"/>
            <w:noWrap w:val="0"/>
            <w:vAlign w:val="center"/>
          </w:tcPr>
          <w:p>
            <w:pPr>
              <w:jc w:val="center"/>
              <w:rPr>
                <w:rFonts w:hint="eastAsia" w:ascii="仿宋_GB2312" w:eastAsia="仿宋_GB2312"/>
                <w:sz w:val="24"/>
                <w:lang w:val="en-US" w:eastAsia="zh-CN"/>
              </w:rPr>
            </w:pPr>
          </w:p>
        </w:tc>
        <w:tc>
          <w:tcPr>
            <w:tcW w:w="885" w:type="dxa"/>
            <w:noWrap w:val="0"/>
            <w:vAlign w:val="center"/>
          </w:tcPr>
          <w:p>
            <w:pPr>
              <w:jc w:val="center"/>
              <w:rPr>
                <w:rFonts w:hint="eastAsia" w:ascii="仿宋_GB2312" w:eastAsia="仿宋_GB2312"/>
                <w:sz w:val="24"/>
                <w:lang w:eastAsia="zh-CN"/>
              </w:rPr>
            </w:pPr>
          </w:p>
        </w:tc>
        <w:tc>
          <w:tcPr>
            <w:tcW w:w="1125" w:type="dxa"/>
            <w:noWrap w:val="0"/>
            <w:vAlign w:val="center"/>
          </w:tcPr>
          <w:p>
            <w:pPr>
              <w:jc w:val="center"/>
              <w:rPr>
                <w:rFonts w:hint="eastAsia" w:ascii="仿宋_GB2312" w:eastAsia="仿宋_GB2312"/>
                <w:sz w:val="24"/>
                <w:lang w:val="en-US" w:eastAsia="zh-CN"/>
              </w:rPr>
            </w:pPr>
          </w:p>
        </w:tc>
        <w:tc>
          <w:tcPr>
            <w:tcW w:w="1065"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号为必填项，投标人的所有报价文件均为加盖单位公章的打印件（签名部分除外）。</w:t>
            </w:r>
          </w:p>
          <w:p>
            <w:pPr>
              <w:numPr>
                <w:ilvl w:val="0"/>
                <w:numId w:val="0"/>
              </w:numPr>
              <w:ind w:leftChars="228"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9"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375"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29" w:type="dxa"/>
            <w:gridSpan w:val="5"/>
            <w:vMerge w:val="continue"/>
            <w:noWrap w:val="0"/>
            <w:vAlign w:val="center"/>
          </w:tcPr>
          <w:p>
            <w:pPr>
              <w:rPr>
                <w:rFonts w:hint="eastAsia" w:ascii="仿宋_GB2312" w:eastAsia="仿宋_GB2312"/>
                <w:sz w:val="24"/>
              </w:rPr>
            </w:pPr>
          </w:p>
        </w:tc>
        <w:tc>
          <w:tcPr>
            <w:tcW w:w="2415"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29" w:type="dxa"/>
            <w:gridSpan w:val="5"/>
            <w:vMerge w:val="continue"/>
            <w:noWrap w:val="0"/>
            <w:vAlign w:val="center"/>
          </w:tcPr>
          <w:p>
            <w:pPr>
              <w:rPr>
                <w:rFonts w:hint="eastAsia" w:ascii="仿宋_GB2312" w:eastAsia="仿宋_GB2312"/>
                <w:sz w:val="24"/>
              </w:rPr>
            </w:pPr>
          </w:p>
        </w:tc>
        <w:tc>
          <w:tcPr>
            <w:tcW w:w="2415"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十一、报价单</w:t>
      </w:r>
    </w:p>
    <w:p>
      <w:pPr>
        <w:rPr>
          <w:rFonts w:hint="eastAsia" w:ascii="仿宋_GB2312" w:eastAsia="仿宋_GB2312"/>
          <w:b/>
          <w:sz w:val="30"/>
          <w:szCs w:val="30"/>
        </w:rPr>
      </w:pP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2024</w:t>
      </w:r>
      <w:r>
        <w:rPr>
          <w:rFonts w:hint="eastAsia" w:ascii="仿宋_GB2312" w:eastAsia="仿宋_GB2312"/>
          <w:b/>
          <w:sz w:val="30"/>
          <w:szCs w:val="30"/>
        </w:rPr>
        <w:t>）</w:t>
      </w:r>
      <w:r>
        <w:rPr>
          <w:rFonts w:hint="eastAsia" w:ascii="仿宋_GB2312" w:eastAsia="仿宋_GB2312"/>
          <w:b/>
          <w:sz w:val="30"/>
          <w:szCs w:val="30"/>
          <w:lang w:val="en-US" w:eastAsia="zh-CN"/>
        </w:rPr>
        <w:t>2包</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42"/>
        <w:gridCol w:w="4320"/>
        <w:gridCol w:w="870"/>
        <w:gridCol w:w="1125"/>
        <w:gridCol w:w="1065"/>
        <w:gridCol w:w="1365"/>
        <w:gridCol w:w="975"/>
        <w:gridCol w:w="163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242"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320"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70"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125"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1065"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65"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75"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3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242"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生石灰（砌块材料使用）</w:t>
            </w:r>
          </w:p>
        </w:tc>
        <w:tc>
          <w:tcPr>
            <w:tcW w:w="4320" w:type="dxa"/>
            <w:noWrap w:val="0"/>
            <w:vAlign w:val="center"/>
          </w:tcPr>
          <w:p>
            <w:pPr>
              <w:jc w:val="left"/>
              <w:rPr>
                <w:rFonts w:hint="eastAsia" w:ascii="仿宋_GB2312" w:eastAsia="仿宋_GB2312"/>
                <w:sz w:val="24"/>
                <w:lang w:val="en-US" w:eastAsia="zh-CN"/>
              </w:rPr>
            </w:pPr>
            <w:r>
              <w:rPr>
                <w:rFonts w:hint="eastAsia" w:ascii="仿宋" w:hAnsi="仿宋" w:eastAsia="仿宋" w:cs="仿宋_GB2312"/>
                <w:sz w:val="24"/>
                <w:szCs w:val="24"/>
                <w:highlight w:val="none"/>
                <w:u w:val="none"/>
                <w:lang w:val="en-US" w:eastAsia="zh-CN"/>
              </w:rPr>
              <w:t>要求石灰消解后无水，外观尺寸5cm-15cm,占比大于70%。生石灰化学成分和物理性能试验方法按JC/T478-2013进行，加气混凝土生石灰消化速度应为7min-15min,消解温度为70℃-90℃，有效钙质量分数≥70%。</w:t>
            </w:r>
          </w:p>
        </w:tc>
        <w:tc>
          <w:tcPr>
            <w:tcW w:w="870"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125" w:type="dxa"/>
            <w:noWrap w:val="0"/>
            <w:vAlign w:val="center"/>
          </w:tcPr>
          <w:p>
            <w:pPr>
              <w:jc w:val="center"/>
              <w:rPr>
                <w:rFonts w:hint="default" w:ascii="仿宋_GB2312" w:eastAsia="仿宋_GB2312"/>
                <w:sz w:val="24"/>
                <w:lang w:val="en-US" w:eastAsia="zh-CN"/>
              </w:rPr>
            </w:pPr>
            <w:r>
              <w:rPr>
                <w:rFonts w:hint="eastAsia" w:ascii="仿宋_GB2312" w:eastAsia="仿宋_GB2312"/>
                <w:b/>
                <w:bCs/>
                <w:sz w:val="24"/>
                <w:lang w:val="en-US" w:eastAsia="zh-CN"/>
              </w:rPr>
              <w:t>3000</w:t>
            </w:r>
          </w:p>
        </w:tc>
        <w:tc>
          <w:tcPr>
            <w:tcW w:w="1065" w:type="dxa"/>
            <w:noWrap w:val="0"/>
            <w:vAlign w:val="center"/>
          </w:tcPr>
          <w:p>
            <w:pPr>
              <w:jc w:val="center"/>
              <w:rPr>
                <w:rFonts w:hint="eastAsia" w:ascii="仿宋_GB2312" w:eastAsia="仿宋_GB2312"/>
                <w:sz w:val="24"/>
              </w:rPr>
            </w:pPr>
          </w:p>
        </w:tc>
        <w:tc>
          <w:tcPr>
            <w:tcW w:w="1365" w:type="dxa"/>
            <w:noWrap w:val="0"/>
            <w:vAlign w:val="center"/>
          </w:tcPr>
          <w:p>
            <w:pPr>
              <w:jc w:val="center"/>
              <w:rPr>
                <w:rFonts w:hint="eastAsia" w:ascii="仿宋_GB2312" w:eastAsia="仿宋_GB2312"/>
                <w:sz w:val="24"/>
              </w:rPr>
            </w:pPr>
          </w:p>
        </w:tc>
        <w:tc>
          <w:tcPr>
            <w:tcW w:w="975"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38"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eastAsia" w:ascii="仿宋_GB2312" w:eastAsia="仿宋_GB2312"/>
                <w:sz w:val="24"/>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242"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320" w:type="dxa"/>
            <w:noWrap w:val="0"/>
            <w:vAlign w:val="center"/>
          </w:tcPr>
          <w:p>
            <w:pPr>
              <w:jc w:val="center"/>
              <w:rPr>
                <w:rFonts w:hint="eastAsia" w:ascii="仿宋_GB2312" w:eastAsia="仿宋_GB2312"/>
                <w:sz w:val="24"/>
                <w:lang w:val="en-US" w:eastAsia="zh-CN"/>
              </w:rPr>
            </w:pPr>
          </w:p>
        </w:tc>
        <w:tc>
          <w:tcPr>
            <w:tcW w:w="870" w:type="dxa"/>
            <w:noWrap w:val="0"/>
            <w:vAlign w:val="center"/>
          </w:tcPr>
          <w:p>
            <w:pPr>
              <w:jc w:val="center"/>
              <w:rPr>
                <w:rFonts w:hint="eastAsia" w:ascii="仿宋_GB2312" w:eastAsia="仿宋_GB2312"/>
                <w:sz w:val="24"/>
                <w:lang w:eastAsia="zh-CN"/>
              </w:rPr>
            </w:pPr>
          </w:p>
        </w:tc>
        <w:tc>
          <w:tcPr>
            <w:tcW w:w="1125" w:type="dxa"/>
            <w:noWrap w:val="0"/>
            <w:vAlign w:val="center"/>
          </w:tcPr>
          <w:p>
            <w:pPr>
              <w:jc w:val="center"/>
              <w:rPr>
                <w:rFonts w:hint="eastAsia" w:ascii="仿宋_GB2312" w:eastAsia="仿宋_GB2312"/>
                <w:sz w:val="24"/>
                <w:lang w:val="en-US" w:eastAsia="zh-CN"/>
              </w:rPr>
            </w:pPr>
          </w:p>
        </w:tc>
        <w:tc>
          <w:tcPr>
            <w:tcW w:w="1065" w:type="dxa"/>
            <w:noWrap w:val="0"/>
            <w:vAlign w:val="center"/>
          </w:tcPr>
          <w:p>
            <w:pPr>
              <w:jc w:val="center"/>
              <w:rPr>
                <w:rFonts w:hint="eastAsia" w:ascii="仿宋_GB2312" w:eastAsia="仿宋_GB2312"/>
                <w:sz w:val="24"/>
              </w:rPr>
            </w:pPr>
          </w:p>
        </w:tc>
        <w:tc>
          <w:tcPr>
            <w:tcW w:w="1365" w:type="dxa"/>
            <w:noWrap w:val="0"/>
            <w:vAlign w:val="center"/>
          </w:tcPr>
          <w:p>
            <w:pPr>
              <w:jc w:val="center"/>
              <w:rPr>
                <w:rFonts w:hint="eastAsia" w:ascii="仿宋_GB2312" w:eastAsia="仿宋_GB2312"/>
                <w:sz w:val="24"/>
              </w:rPr>
            </w:pPr>
          </w:p>
        </w:tc>
        <w:tc>
          <w:tcPr>
            <w:tcW w:w="975" w:type="dxa"/>
            <w:noWrap w:val="0"/>
            <w:vAlign w:val="center"/>
          </w:tcPr>
          <w:p>
            <w:pPr>
              <w:jc w:val="center"/>
              <w:rPr>
                <w:rFonts w:hint="eastAsia" w:ascii="仿宋_GB2312" w:eastAsia="仿宋_GB2312"/>
                <w:sz w:val="24"/>
              </w:rPr>
            </w:pPr>
          </w:p>
        </w:tc>
        <w:tc>
          <w:tcPr>
            <w:tcW w:w="1638"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eastAsia" w:ascii="仿宋_GB2312" w:eastAsia="仿宋_GB2312"/>
                <w:sz w:val="24"/>
              </w:rPr>
            </w:pPr>
            <w:r>
              <w:rPr>
                <w:rFonts w:hint="eastAsia" w:ascii="仿宋_GB2312" w:eastAsia="仿宋_GB2312"/>
                <w:sz w:val="24"/>
              </w:rPr>
              <w:t>说明：1、此报价表中带 ＊ 号为必填项，投标人的所有报价文件均为加盖单位公章的打印件（签名部分除外）。</w:t>
            </w:r>
          </w:p>
          <w:p>
            <w:pPr>
              <w:numPr>
                <w:ilvl w:val="0"/>
                <w:numId w:val="0"/>
              </w:numPr>
              <w:ind w:leftChars="228" w:firstLine="480" w:firstLineChars="200"/>
              <w:jc w:val="both"/>
              <w:rPr>
                <w:rFonts w:hint="default"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14"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405" w:type="dxa"/>
            <w:gridSpan w:val="3"/>
            <w:noWrap w:val="0"/>
            <w:vAlign w:val="center"/>
          </w:tcPr>
          <w:p>
            <w:pPr>
              <w:jc w:val="center"/>
              <w:rPr>
                <w:rFonts w:hint="eastAsia" w:ascii="仿宋_GB2312" w:eastAsia="仿宋_GB2312"/>
                <w:sz w:val="24"/>
              </w:rPr>
            </w:pPr>
            <w:r>
              <w:rPr>
                <w:rFonts w:hint="eastAsia" w:ascii="仿宋_GB2312" w:eastAsia="仿宋_GB2312"/>
                <w:sz w:val="24"/>
              </w:rPr>
              <w:t>法定代表人或授权委托人</w:t>
            </w:r>
          </w:p>
        </w:tc>
        <w:tc>
          <w:tcPr>
            <w:tcW w:w="3716"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14" w:type="dxa"/>
            <w:gridSpan w:val="5"/>
            <w:vMerge w:val="continue"/>
            <w:noWrap w:val="0"/>
            <w:vAlign w:val="center"/>
          </w:tcPr>
          <w:p>
            <w:pPr>
              <w:rPr>
                <w:rFonts w:hint="eastAsia" w:ascii="仿宋_GB2312" w:eastAsia="仿宋_GB2312"/>
                <w:sz w:val="24"/>
              </w:rPr>
            </w:pPr>
          </w:p>
        </w:tc>
        <w:tc>
          <w:tcPr>
            <w:tcW w:w="2430"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75"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16"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4" w:type="dxa"/>
            <w:gridSpan w:val="5"/>
            <w:vMerge w:val="continue"/>
            <w:noWrap w:val="0"/>
            <w:vAlign w:val="center"/>
          </w:tcPr>
          <w:p>
            <w:pPr>
              <w:rPr>
                <w:rFonts w:hint="eastAsia" w:ascii="仿宋_GB2312" w:eastAsia="仿宋_GB2312"/>
                <w:sz w:val="24"/>
              </w:rPr>
            </w:pPr>
          </w:p>
        </w:tc>
        <w:tc>
          <w:tcPr>
            <w:tcW w:w="2430" w:type="dxa"/>
            <w:gridSpan w:val="2"/>
            <w:vMerge w:val="continue"/>
            <w:noWrap w:val="0"/>
            <w:vAlign w:val="center"/>
          </w:tcPr>
          <w:p>
            <w:pPr>
              <w:jc w:val="center"/>
              <w:rPr>
                <w:rFonts w:hint="eastAsia" w:ascii="仿宋_GB2312" w:eastAsia="仿宋_GB2312"/>
                <w:sz w:val="24"/>
              </w:rPr>
            </w:pPr>
          </w:p>
        </w:tc>
        <w:tc>
          <w:tcPr>
            <w:tcW w:w="975"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16"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59336"/>
    <w:multiLevelType w:val="singleLevel"/>
    <w:tmpl w:val="43159336"/>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E8F0FE2"/>
    <w:multiLevelType w:val="singleLevel"/>
    <w:tmpl w:val="6E8F0FE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48A48C3"/>
    <w:rsid w:val="05BF33B5"/>
    <w:rsid w:val="0666200A"/>
    <w:rsid w:val="078F4586"/>
    <w:rsid w:val="08532FCA"/>
    <w:rsid w:val="087B3E41"/>
    <w:rsid w:val="0A5C7401"/>
    <w:rsid w:val="0A671243"/>
    <w:rsid w:val="0B2B537E"/>
    <w:rsid w:val="0B892A41"/>
    <w:rsid w:val="0BC6777D"/>
    <w:rsid w:val="0C6241B2"/>
    <w:rsid w:val="0D2B4E23"/>
    <w:rsid w:val="0DA4166E"/>
    <w:rsid w:val="0E876D2F"/>
    <w:rsid w:val="0EC82FD7"/>
    <w:rsid w:val="0EEA79E8"/>
    <w:rsid w:val="0FD9468C"/>
    <w:rsid w:val="10181623"/>
    <w:rsid w:val="1021796C"/>
    <w:rsid w:val="12214BB2"/>
    <w:rsid w:val="12A820AD"/>
    <w:rsid w:val="15983E4B"/>
    <w:rsid w:val="179B554D"/>
    <w:rsid w:val="17B54B89"/>
    <w:rsid w:val="17D86D23"/>
    <w:rsid w:val="18AF15FD"/>
    <w:rsid w:val="1A097DD9"/>
    <w:rsid w:val="1B59783C"/>
    <w:rsid w:val="1BBF797C"/>
    <w:rsid w:val="1C6F0694"/>
    <w:rsid w:val="1DEE2CCA"/>
    <w:rsid w:val="2037683E"/>
    <w:rsid w:val="213C6AFC"/>
    <w:rsid w:val="21AC031E"/>
    <w:rsid w:val="223E7710"/>
    <w:rsid w:val="23B966E8"/>
    <w:rsid w:val="24EE5A22"/>
    <w:rsid w:val="25590EC9"/>
    <w:rsid w:val="26320AE7"/>
    <w:rsid w:val="26A26CEB"/>
    <w:rsid w:val="29981836"/>
    <w:rsid w:val="299D4A4C"/>
    <w:rsid w:val="2A1902C2"/>
    <w:rsid w:val="2B3013CD"/>
    <w:rsid w:val="2C995D0F"/>
    <w:rsid w:val="2D3E7816"/>
    <w:rsid w:val="2D5B1DD3"/>
    <w:rsid w:val="302E3043"/>
    <w:rsid w:val="30D974B7"/>
    <w:rsid w:val="333663C1"/>
    <w:rsid w:val="336F7BD6"/>
    <w:rsid w:val="33800EB9"/>
    <w:rsid w:val="343C1399"/>
    <w:rsid w:val="34634E47"/>
    <w:rsid w:val="346848DB"/>
    <w:rsid w:val="354F3A99"/>
    <w:rsid w:val="357B16F3"/>
    <w:rsid w:val="36050FAB"/>
    <w:rsid w:val="368D196C"/>
    <w:rsid w:val="36D672C3"/>
    <w:rsid w:val="380C6F18"/>
    <w:rsid w:val="38182E0F"/>
    <w:rsid w:val="3A3173ED"/>
    <w:rsid w:val="3B076549"/>
    <w:rsid w:val="3C5B75D3"/>
    <w:rsid w:val="3C7823C8"/>
    <w:rsid w:val="3DBC2399"/>
    <w:rsid w:val="3DCC4487"/>
    <w:rsid w:val="3E474521"/>
    <w:rsid w:val="3E6F69C8"/>
    <w:rsid w:val="3EC82979"/>
    <w:rsid w:val="41B46B47"/>
    <w:rsid w:val="424B79E0"/>
    <w:rsid w:val="434963F7"/>
    <w:rsid w:val="439F612A"/>
    <w:rsid w:val="441344E9"/>
    <w:rsid w:val="44842956"/>
    <w:rsid w:val="44B922E9"/>
    <w:rsid w:val="44F42E3B"/>
    <w:rsid w:val="465E02D2"/>
    <w:rsid w:val="499D4ACB"/>
    <w:rsid w:val="4E72741D"/>
    <w:rsid w:val="4E822997"/>
    <w:rsid w:val="4ED20DFA"/>
    <w:rsid w:val="4F0F5DA2"/>
    <w:rsid w:val="4F306E70"/>
    <w:rsid w:val="4F397E6D"/>
    <w:rsid w:val="504C2BE7"/>
    <w:rsid w:val="515D197F"/>
    <w:rsid w:val="51B50E5A"/>
    <w:rsid w:val="545A509F"/>
    <w:rsid w:val="5490274C"/>
    <w:rsid w:val="554830C1"/>
    <w:rsid w:val="568367ED"/>
    <w:rsid w:val="56B4262E"/>
    <w:rsid w:val="57292C47"/>
    <w:rsid w:val="5807041D"/>
    <w:rsid w:val="583F79D3"/>
    <w:rsid w:val="58691989"/>
    <w:rsid w:val="58F960F8"/>
    <w:rsid w:val="5B142C77"/>
    <w:rsid w:val="5C1E1084"/>
    <w:rsid w:val="5DD82E17"/>
    <w:rsid w:val="5EE01EF7"/>
    <w:rsid w:val="60F035C2"/>
    <w:rsid w:val="63E45615"/>
    <w:rsid w:val="66E87CA1"/>
    <w:rsid w:val="6783747A"/>
    <w:rsid w:val="67BB44D3"/>
    <w:rsid w:val="69AD4D95"/>
    <w:rsid w:val="6A315ABB"/>
    <w:rsid w:val="6A38444C"/>
    <w:rsid w:val="6A660AE8"/>
    <w:rsid w:val="6A87598F"/>
    <w:rsid w:val="6B851ED6"/>
    <w:rsid w:val="6C421F5D"/>
    <w:rsid w:val="6DD3687C"/>
    <w:rsid w:val="701C116B"/>
    <w:rsid w:val="703849D5"/>
    <w:rsid w:val="711712EF"/>
    <w:rsid w:val="724A4C98"/>
    <w:rsid w:val="74B57A97"/>
    <w:rsid w:val="770017D6"/>
    <w:rsid w:val="7757254C"/>
    <w:rsid w:val="77C81C4C"/>
    <w:rsid w:val="793439F5"/>
    <w:rsid w:val="796E3D99"/>
    <w:rsid w:val="7B8D7C88"/>
    <w:rsid w:val="7B974470"/>
    <w:rsid w:val="7C252C88"/>
    <w:rsid w:val="7C316DE3"/>
    <w:rsid w:val="7DBC073F"/>
    <w:rsid w:val="7E0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56</TotalTime>
  <ScaleCrop>false</ScaleCrop>
  <LinksUpToDate>false</LinksUpToDate>
  <CharactersWithSpaces>2489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2020-12-17T02:26:08Z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