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建材公司-脱模剂</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2107</w:t>
      </w:r>
    </w:p>
    <w:p>
      <w:pPr>
        <w:rPr>
          <w:rFonts w:hint="eastAsia" w:ascii="仿宋" w:hAnsi="仿宋" w:eastAsia="仿宋" w:cs="仿宋_GB2312"/>
          <w:b/>
          <w:bCs/>
          <w:sz w:val="32"/>
          <w:szCs w:val="32"/>
        </w:rPr>
      </w:pPr>
    </w:p>
    <w:p>
      <w:pPr>
        <w:rPr>
          <w:rFonts w:ascii="仿宋" w:hAnsi="仿宋" w:eastAsia="仿宋" w:cs="仿宋_GB2312"/>
          <w:b/>
          <w:bCs/>
          <w:sz w:val="32"/>
          <w:szCs w:val="32"/>
          <w:highlight w:val="none"/>
          <w:u w:val="single"/>
        </w:rPr>
      </w:pPr>
      <w:r>
        <w:rPr>
          <w:rFonts w:hint="eastAsia" w:ascii="仿宋" w:hAnsi="仿宋" w:eastAsia="仿宋" w:cs="仿宋_GB2312"/>
          <w:b/>
          <w:bCs/>
          <w:sz w:val="32"/>
          <w:szCs w:val="32"/>
        </w:rPr>
        <w:t>招</w:t>
      </w:r>
      <w:r>
        <w:rPr>
          <w:rFonts w:hint="eastAsia" w:ascii="仿宋" w:hAnsi="仿宋" w:eastAsia="仿宋" w:cs="仿宋_GB2312"/>
          <w:b/>
          <w:bCs/>
          <w:sz w:val="32"/>
          <w:szCs w:val="32"/>
          <w:highlight w:val="none"/>
        </w:rPr>
        <w:t>标公告发布日期</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23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w:t>
      </w: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5、开标时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numPr>
          <w:ilvl w:val="0"/>
          <w:numId w:val="2"/>
        </w:numPr>
        <w:ind w:left="1543" w:leftChars="0" w:firstLine="0" w:firstLineChars="0"/>
        <w:rPr>
          <w:rFonts w:hint="default" w:ascii="仿宋" w:hAnsi="仿宋" w:eastAsia="仿宋" w:cs="仿宋_GB2312"/>
          <w:b/>
          <w:bCs/>
          <w:i w:val="0"/>
          <w:iCs w:val="0"/>
          <w:sz w:val="28"/>
          <w:szCs w:val="28"/>
          <w:u w:val="single"/>
          <w:lang w:val="en-US" w:eastAsia="zh-CN"/>
        </w:rPr>
      </w:pPr>
      <w:r>
        <w:rPr>
          <w:rFonts w:hint="eastAsia" w:ascii="仿宋" w:hAnsi="仿宋" w:eastAsia="仿宋" w:cs="仿宋_GB2312"/>
          <w:b/>
          <w:bCs/>
          <w:i w:val="0"/>
          <w:iCs w:val="0"/>
          <w:sz w:val="28"/>
          <w:szCs w:val="28"/>
          <w:u w:val="single"/>
          <w:lang w:val="en-US" w:eastAsia="zh-CN"/>
        </w:rPr>
        <w:t>脱模剂  90吨。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numPr>
          <w:ilvl w:val="0"/>
          <w:numId w:val="3"/>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各投标人需在开标之前至铜陵有色建安公司报名。</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w:t>
      </w:r>
      <w:r>
        <w:rPr>
          <w:rFonts w:hint="eastAsia" w:ascii="仿宋_GB2312" w:hAnsi="仿宋_GB2312" w:eastAsia="仿宋_GB2312" w:cs="仿宋_GB2312"/>
          <w:sz w:val="28"/>
          <w:szCs w:val="28"/>
          <w:highlight w:val="none"/>
        </w:rPr>
        <w:t>发布之日起至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日17:30</w:t>
      </w:r>
      <w:r>
        <w:rPr>
          <w:rFonts w:hint="eastAsia" w:ascii="仿宋_GB2312" w:hAnsi="仿宋_GB2312" w:eastAsia="仿宋_GB2312" w:cs="仿宋_GB2312"/>
          <w:sz w:val="28"/>
          <w:szCs w:val="28"/>
          <w:highlight w:val="none"/>
          <w:u w:val="single"/>
        </w:rPr>
        <w:t>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r>
        <w:rPr>
          <w:rFonts w:hint="eastAsia" w:ascii="仿宋_GB2312" w:hAnsi="仿宋_GB2312" w:eastAsia="仿宋_GB2312" w:cs="仿宋_GB2312"/>
          <w:b/>
          <w:bCs/>
          <w:sz w:val="28"/>
          <w:szCs w:val="28"/>
          <w:u w:val="single"/>
          <w:lang w:val="en-US" w:eastAsia="zh-CN"/>
        </w:rPr>
        <w:t>建材公司脱模剂</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107</w:t>
      </w:r>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w:t>
      </w:r>
      <w:r>
        <w:rPr>
          <w:rFonts w:hint="eastAsia" w:ascii="仿宋" w:hAnsi="仿宋" w:eastAsia="仿宋" w:cs="仿宋_GB2312"/>
          <w:sz w:val="28"/>
          <w:szCs w:val="28"/>
          <w:highlight w:val="none"/>
        </w:rPr>
        <w:t>交的截止时间：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3</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w:t>
      </w:r>
      <w:bookmarkStart w:id="0" w:name="_GoBack"/>
      <w:bookmarkEnd w:id="0"/>
      <w:r>
        <w:rPr>
          <w:rFonts w:hint="eastAsia" w:ascii="仿宋" w:hAnsi="仿宋" w:eastAsia="仿宋" w:cs="仿宋_GB2312"/>
          <w:sz w:val="28"/>
          <w:szCs w:val="28"/>
        </w:rPr>
        <w:t>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4"/>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5"/>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材料质量要求</w:t>
      </w:r>
    </w:p>
    <w:p>
      <w:pPr>
        <w:numPr>
          <w:ilvl w:val="0"/>
          <w:numId w:val="0"/>
        </w:numPr>
        <w:ind w:firstLine="1400" w:firstLineChars="500"/>
        <w:jc w:val="left"/>
        <w:rPr>
          <w:rFonts w:hint="eastAsia" w:ascii="仿宋" w:hAnsi="仿宋" w:eastAsia="仿宋" w:cs="仿宋_GB2312"/>
          <w:b w:val="0"/>
          <w:bCs w:val="0"/>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1）脱模剂:</w:t>
      </w:r>
    </w:p>
    <w:tbl>
      <w:tblPr>
        <w:tblStyle w:val="46"/>
        <w:tblpPr w:leftFromText="180" w:rightFromText="180" w:vertAnchor="text" w:horzAnchor="page" w:tblpX="1766"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328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restart"/>
            <w:noWrap w:val="0"/>
            <w:vAlign w:val="center"/>
          </w:tcPr>
          <w:p>
            <w:pPr>
              <w:jc w:val="center"/>
              <w:rPr>
                <w:rFonts w:hint="default"/>
                <w:vertAlign w:val="baseline"/>
                <w:lang w:val="en-US" w:eastAsia="zh-CN"/>
              </w:rPr>
            </w:pPr>
            <w:r>
              <w:rPr>
                <w:rFonts w:hint="eastAsia"/>
                <w:vertAlign w:val="baseline"/>
                <w:lang w:val="en-US" w:eastAsia="zh-CN"/>
              </w:rPr>
              <w:t>倾点/℃</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矿油型润滑油      -48℃—-6℃</w:t>
            </w:r>
          </w:p>
        </w:tc>
        <w:tc>
          <w:tcPr>
            <w:tcW w:w="2026" w:type="dxa"/>
            <w:vMerge w:val="restart"/>
            <w:noWrap w:val="0"/>
            <w:vAlign w:val="center"/>
          </w:tcPr>
          <w:p>
            <w:pPr>
              <w:jc w:val="center"/>
              <w:rPr>
                <w:rFonts w:hint="default"/>
                <w:vertAlign w:val="baseline"/>
                <w:lang w:val="en-US" w:eastAsia="zh-CN"/>
              </w:rPr>
            </w:pPr>
            <w:r>
              <w:rPr>
                <w:rFonts w:hint="eastAsia"/>
                <w:vertAlign w:val="baseline"/>
                <w:lang w:val="en-US" w:eastAsia="zh-CN"/>
              </w:rP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continue"/>
            <w:noWrap w:val="0"/>
            <w:vAlign w:val="center"/>
          </w:tcPr>
          <w:p>
            <w:pPr>
              <w:jc w:val="center"/>
            </w:pP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燃料油            -33℃—51℃</w:t>
            </w:r>
          </w:p>
        </w:tc>
        <w:tc>
          <w:tcPr>
            <w:tcW w:w="2026" w:type="dxa"/>
            <w:vMerge w:val="continue"/>
            <w:noWrap w:val="0"/>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粘度指数</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1995-1998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noWrap w:val="0"/>
            <w:vAlign w:val="center"/>
          </w:tcPr>
          <w:p>
            <w:pPr>
              <w:jc w:val="center"/>
              <w:rPr>
                <w:rFonts w:hint="default"/>
                <w:vertAlign w:val="baseline"/>
                <w:lang w:val="en-US" w:eastAsia="zh-CN"/>
              </w:rPr>
            </w:pPr>
            <w:r>
              <w:rPr>
                <w:rFonts w:hint="eastAsia"/>
                <w:vertAlign w:val="baseline"/>
                <w:lang w:val="en-US" w:eastAsia="zh-CN"/>
              </w:rPr>
              <w:t>闪点（开口）/℃</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＞139</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3536—2008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运动粘度（40℃）/（mm</w:t>
            </w:r>
            <w:r>
              <w:rPr>
                <w:rFonts w:hint="eastAsia"/>
                <w:vertAlign w:val="superscript"/>
                <w:lang w:val="en-US" w:eastAsia="zh-CN"/>
              </w:rPr>
              <w:t>2</w:t>
            </w:r>
            <w:r>
              <w:rPr>
                <w:rFonts w:hint="eastAsia"/>
                <w:vertAlign w:val="baseline"/>
                <w:lang w:val="en-US" w:eastAsia="zh-CN"/>
              </w:rPr>
              <w:t>/s）</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＞400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 265-1988</w:t>
            </w:r>
          </w:p>
        </w:tc>
      </w:tr>
    </w:tbl>
    <w:p>
      <w:pPr>
        <w:jc w:val="both"/>
        <w:rPr>
          <w:rFonts w:hint="default"/>
          <w:lang w:val="en-US" w:eastAsia="zh-CN"/>
        </w:rPr>
      </w:pPr>
    </w:p>
    <w:p>
      <w:pPr>
        <w:jc w:val="center"/>
        <w:rPr>
          <w:rFonts w:hint="eastAsia"/>
          <w:lang w:val="en-US" w:eastAsia="zh-CN"/>
        </w:rPr>
      </w:pPr>
    </w:p>
    <w:p>
      <w:pPr>
        <w:numPr>
          <w:ilvl w:val="0"/>
          <w:numId w:val="0"/>
        </w:numPr>
        <w:jc w:val="left"/>
        <w:rPr>
          <w:rFonts w:hint="eastAsia" w:ascii="仿宋" w:hAnsi="仿宋" w:eastAsia="仿宋" w:cs="仿宋_GB2312"/>
          <w:b w:val="0"/>
          <w:bCs w:val="0"/>
          <w:sz w:val="28"/>
          <w:szCs w:val="28"/>
          <w:u w:val="single"/>
          <w:lang w:val="en-US" w:eastAsia="zh-CN"/>
        </w:rPr>
      </w:pPr>
    </w:p>
    <w:p>
      <w:pPr>
        <w:ind w:firstLine="1400" w:firstLineChars="500"/>
        <w:jc w:val="left"/>
        <w:rPr>
          <w:rFonts w:hint="eastAsia" w:ascii="仿宋" w:hAnsi="仿宋" w:eastAsia="仿宋" w:cs="仿宋_GB2312"/>
          <w:b w:val="0"/>
          <w:bCs w:val="0"/>
          <w:sz w:val="28"/>
          <w:szCs w:val="28"/>
          <w:u w:val="single"/>
          <w:lang w:val="en-US" w:eastAsia="zh-CN"/>
        </w:rPr>
      </w:pPr>
    </w:p>
    <w:p>
      <w:pPr>
        <w:jc w:val="left"/>
        <w:rPr>
          <w:rFonts w:hint="eastAsia" w:ascii="仿宋" w:hAnsi="仿宋" w:eastAsia="仿宋" w:cs="仿宋_GB2312"/>
          <w:b w:val="0"/>
          <w:bCs w:val="0"/>
          <w:sz w:val="28"/>
          <w:szCs w:val="28"/>
          <w:u w:val="single"/>
          <w:lang w:val="en-US" w:eastAsia="zh-CN"/>
        </w:rPr>
      </w:pP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w:t>
      </w:r>
    </w:p>
    <w:p>
      <w:pPr>
        <w:ind w:firstLine="560" w:firstLineChars="200"/>
        <w:jc w:val="left"/>
        <w:rPr>
          <w:rFonts w:hint="eastAsia" w:ascii="仿宋" w:hAnsi="仿宋" w:eastAsia="仿宋" w:cs="仿宋_GB2312"/>
          <w:sz w:val="28"/>
          <w:szCs w:val="28"/>
          <w:highlight w:val="cyan"/>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w:t>
      </w:r>
      <w:r>
        <w:rPr>
          <w:rFonts w:hint="eastAsia" w:ascii="仿宋" w:hAnsi="仿宋" w:eastAsia="仿宋" w:cs="仿宋_GB2312"/>
          <w:b w:val="0"/>
          <w:bCs w:val="0"/>
          <w:sz w:val="28"/>
          <w:szCs w:val="28"/>
          <w:highlight w:val="none"/>
          <w:lang w:val="en-US" w:eastAsia="zh-CN"/>
        </w:rPr>
        <w:t>各投标人须</w:t>
      </w:r>
      <w:r>
        <w:rPr>
          <w:rFonts w:hint="eastAsia" w:ascii="仿宋_GB2312" w:hAnsi="仿宋_GB2312" w:eastAsia="仿宋_GB2312" w:cs="仿宋_GB2312"/>
          <w:b w:val="0"/>
          <w:bCs w:val="0"/>
          <w:sz w:val="28"/>
          <w:szCs w:val="28"/>
          <w:highlight w:val="none"/>
        </w:rPr>
        <w:t>在</w:t>
      </w:r>
      <w:r>
        <w:rPr>
          <w:rFonts w:hint="eastAsia" w:ascii="仿宋_GB2312" w:hAnsi="仿宋_GB2312" w:eastAsia="仿宋_GB2312" w:cs="仿宋_GB2312"/>
          <w:b w:val="0"/>
          <w:bCs w:val="0"/>
          <w:sz w:val="28"/>
          <w:szCs w:val="28"/>
          <w:highlight w:val="none"/>
          <w:lang w:val="en-US" w:eastAsia="zh-CN"/>
        </w:rPr>
        <w:t>指定时间</w:t>
      </w:r>
      <w:r>
        <w:rPr>
          <w:rFonts w:hint="eastAsia" w:ascii="仿宋_GB2312" w:hAnsi="仿宋_GB2312" w:eastAsia="仿宋_GB2312" w:cs="仿宋_GB2312"/>
          <w:b w:val="0"/>
          <w:bCs w:val="0"/>
          <w:sz w:val="28"/>
          <w:szCs w:val="28"/>
          <w:highlight w:val="none"/>
        </w:rPr>
        <w:t>前至铜陵有色建安公司报名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w:t>
      </w:r>
      <w:r>
        <w:rPr>
          <w:rFonts w:hint="eastAsia" w:ascii="仿宋" w:hAnsi="仿宋" w:eastAsia="仿宋" w:cs="仿宋_GB2312"/>
          <w:sz w:val="28"/>
          <w:szCs w:val="28"/>
          <w:lang w:val="en-US" w:eastAsia="zh-CN"/>
        </w:rPr>
        <w:t>法定代表人授权书</w:t>
      </w:r>
      <w:r>
        <w:rPr>
          <w:rFonts w:hint="eastAsia" w:ascii="仿宋" w:hAnsi="仿宋" w:eastAsia="仿宋" w:cs="仿宋_GB2312"/>
          <w:sz w:val="28"/>
          <w:szCs w:val="28"/>
        </w:rPr>
        <w:t>》并加盖公章作为投标资料的一部分。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lang w:val="en-US" w:eastAsia="zh-CN"/>
        </w:rPr>
        <w:t>若不符要求视为无效投标</w:t>
      </w:r>
      <w:r>
        <w:rPr>
          <w:rFonts w:hint="eastAsia" w:ascii="仿宋" w:hAnsi="仿宋" w:eastAsia="仿宋" w:cs="仿宋_GB2312"/>
          <w:sz w:val="28"/>
          <w:szCs w:val="28"/>
          <w:lang w:val="en-US" w:eastAsia="zh-CN"/>
        </w:rPr>
        <w:t>。</w:t>
      </w:r>
    </w:p>
    <w:p>
      <w:pPr>
        <w:ind w:firstLine="565" w:firstLineChars="202"/>
        <w:rPr>
          <w:rFonts w:hint="eastAsia" w:ascii="仿宋" w:hAnsi="仿宋" w:eastAsia="仿宋" w:cs="仿宋_GB2312"/>
          <w:b/>
          <w:bCs/>
          <w:sz w:val="28"/>
          <w:szCs w:val="28"/>
          <w:highlight w:val="none"/>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投标人的所有报价</w:t>
      </w:r>
      <w:r>
        <w:rPr>
          <w:rFonts w:hint="eastAsia" w:ascii="仿宋" w:hAnsi="仿宋" w:eastAsia="仿宋" w:cs="仿宋_GB2312"/>
          <w:sz w:val="28"/>
          <w:szCs w:val="28"/>
          <w:highlight w:val="none"/>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highlight w:val="none"/>
        </w:rPr>
        <w:t>为加盖单位公章的打印件</w:t>
      </w:r>
      <w:r>
        <w:rPr>
          <w:rFonts w:hint="eastAsia" w:ascii="仿宋" w:hAnsi="仿宋" w:eastAsia="仿宋" w:cs="仿宋_GB2312"/>
          <w:sz w:val="28"/>
          <w:szCs w:val="28"/>
          <w:highlight w:val="none"/>
          <w:lang w:eastAsia="zh-CN"/>
        </w:rPr>
        <w:t>。</w:t>
      </w:r>
      <w:r>
        <w:rPr>
          <w:rFonts w:hint="eastAsia" w:ascii="仿宋" w:hAnsi="仿宋" w:eastAsia="仿宋" w:cs="仿宋_GB2312"/>
          <w:b/>
          <w:bCs/>
          <w:sz w:val="28"/>
          <w:szCs w:val="28"/>
          <w:highlight w:val="none"/>
        </w:rPr>
        <w:t>以上事项不符合要求的视为无效投标</w:t>
      </w:r>
      <w:r>
        <w:rPr>
          <w:rFonts w:hint="eastAsia" w:ascii="仿宋" w:hAnsi="仿宋" w:eastAsia="仿宋" w:cs="仿宋_GB2312"/>
          <w:b/>
          <w:bCs/>
          <w:sz w:val="28"/>
          <w:szCs w:val="28"/>
          <w:highlight w:val="none"/>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本次招标的材料由中标人负责运输。运输过程中未按相关安全、环保等要求所导致的一切安全</w:t>
      </w:r>
      <w:r>
        <w:rPr>
          <w:rFonts w:hint="eastAsia" w:ascii="仿宋" w:hAnsi="仿宋" w:eastAsia="仿宋" w:cs="仿宋_GB2312"/>
          <w:sz w:val="28"/>
          <w:szCs w:val="28"/>
          <w:highlight w:val="none"/>
          <w:u w:val="single"/>
          <w:lang w:eastAsia="zh-CN"/>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highlight w:val="none"/>
          <w:u w:val="single"/>
          <w14:textFill>
            <w14:solidFill>
              <w14:schemeClr w14:val="tx1"/>
            </w14:solidFill>
          </w14:textFill>
        </w:rPr>
        <w:t>事故由中标人</w:t>
      </w:r>
      <w:r>
        <w:rPr>
          <w:rFonts w:hint="eastAsia" w:ascii="仿宋" w:hAnsi="仿宋" w:eastAsia="仿宋" w:cs="仿宋_GB2312"/>
          <w:sz w:val="28"/>
          <w:szCs w:val="28"/>
          <w:highlight w:val="none"/>
          <w:u w:val="single"/>
        </w:rPr>
        <w:t>承担责任。</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915" w:firstLineChars="327"/>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w:t>
      </w:r>
      <w:r>
        <w:rPr>
          <w:rFonts w:hint="eastAsia" w:ascii="仿宋" w:hAnsi="仿宋" w:eastAsia="仿宋" w:cs="仿宋_GB2312"/>
          <w:sz w:val="28"/>
          <w:szCs w:val="28"/>
          <w:highlight w:val="none"/>
          <w:u w:val="single"/>
          <w:lang w:val="en-US" w:eastAsia="zh-CN"/>
        </w:rPr>
        <w:t>建材</w:t>
      </w:r>
      <w:r>
        <w:rPr>
          <w:rFonts w:hint="eastAsia" w:ascii="仿宋" w:hAnsi="仿宋" w:eastAsia="仿宋" w:cs="仿宋_GB2312"/>
          <w:sz w:val="28"/>
          <w:szCs w:val="28"/>
          <w:highlight w:val="none"/>
          <w:u w:val="single"/>
        </w:rPr>
        <w:t>公司实际验收数量和理论换算量方式确认数量结算。</w:t>
      </w:r>
    </w:p>
    <w:p>
      <w:pPr>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9、本次招标设置最高</w:t>
      </w:r>
      <w:r>
        <w:rPr>
          <w:rFonts w:hint="eastAsia" w:ascii="仿宋" w:hAnsi="仿宋" w:eastAsia="仿宋" w:cs="仿宋_GB2312"/>
          <w:b w:val="0"/>
          <w:bCs w:val="0"/>
          <w:sz w:val="28"/>
          <w:szCs w:val="28"/>
          <w:lang w:val="en-US" w:eastAsia="zh-CN"/>
        </w:rPr>
        <w:t>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年   月   日</w:t>
      </w: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2107</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脱模剂</w:t>
            </w:r>
          </w:p>
        </w:tc>
        <w:tc>
          <w:tcPr>
            <w:tcW w:w="4075" w:type="dxa"/>
            <w:noWrap w:val="0"/>
            <w:vAlign w:val="center"/>
          </w:tcPr>
          <w:p>
            <w:pPr>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矿油型润滑油:-48℃—-6℃；</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燃料油:-33℃—51℃；</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粘度指数＞100;</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闪点＞139；</w:t>
            </w:r>
          </w:p>
          <w:p>
            <w:pPr>
              <w:jc w:val="center"/>
              <w:rPr>
                <w:rFonts w:hint="default"/>
                <w:vertAlign w:val="baseline"/>
                <w:lang w:val="en-US" w:eastAsia="zh-CN"/>
              </w:rPr>
            </w:pPr>
            <w:r>
              <w:rPr>
                <w:rFonts w:hint="eastAsia" w:ascii="仿宋_GB2312" w:eastAsia="仿宋_GB2312"/>
                <w:b w:val="0"/>
                <w:bCs w:val="0"/>
                <w:sz w:val="24"/>
                <w:lang w:val="en-US" w:eastAsia="zh-CN"/>
              </w:rPr>
              <w:t>运动粘度＞400。</w:t>
            </w:r>
          </w:p>
        </w:tc>
        <w:tc>
          <w:tcPr>
            <w:tcW w:w="804"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90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ind w:firstLine="240" w:firstLineChars="100"/>
              <w:jc w:val="both"/>
              <w:rPr>
                <w:rFonts w:hint="default" w:ascii="仿宋_GB2312" w:eastAsia="仿宋_GB2312"/>
                <w:sz w:val="24"/>
                <w:lang w:val="en-US" w:eastAsia="zh-CN"/>
              </w:rPr>
            </w:pPr>
          </w:p>
          <w:p>
            <w:pPr>
              <w:numPr>
                <w:ilvl w:val="0"/>
                <w:numId w:val="0"/>
              </w:numPr>
              <w:ind w:firstLine="960" w:firstLineChars="4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98542"/>
    <w:multiLevelType w:val="singleLevel"/>
    <w:tmpl w:val="97998542"/>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B9E6CF"/>
    <w:multiLevelType w:val="singleLevel"/>
    <w:tmpl w:val="60B9E6CF"/>
    <w:lvl w:ilvl="0" w:tentative="0">
      <w:start w:val="1"/>
      <w:numFmt w:val="decimal"/>
      <w:suff w:val="nothing"/>
      <w:lvlText w:val="%1、"/>
      <w:lvlJc w:val="left"/>
    </w:lvl>
  </w:abstractNum>
  <w:abstractNum w:abstractNumId="3">
    <w:nsid w:val="6E8F0FE2"/>
    <w:multiLevelType w:val="singleLevel"/>
    <w:tmpl w:val="6E8F0FE2"/>
    <w:lvl w:ilvl="0" w:tentative="0">
      <w:start w:val="1"/>
      <w:numFmt w:val="decimal"/>
      <w:suff w:val="nothing"/>
      <w:lvlText w:val="%1、"/>
      <w:lvlJc w:val="left"/>
    </w:lvl>
  </w:abstractNum>
  <w:abstractNum w:abstractNumId="4">
    <w:nsid w:val="7CA1E40B"/>
    <w:multiLevelType w:val="singleLevel"/>
    <w:tmpl w:val="7CA1E40B"/>
    <w:lvl w:ilvl="0" w:tentative="0">
      <w:start w:val="1"/>
      <w:numFmt w:val="decimal"/>
      <w:suff w:val="nothing"/>
      <w:lvlText w:val="%1、"/>
      <w:lvlJc w:val="left"/>
      <w:pPr>
        <w:ind w:left="1543" w:leftChars="0" w:firstLine="0" w:firstLineChars="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66200A"/>
    <w:rsid w:val="06830296"/>
    <w:rsid w:val="078F4586"/>
    <w:rsid w:val="08532FCA"/>
    <w:rsid w:val="087B3E41"/>
    <w:rsid w:val="0A5C7401"/>
    <w:rsid w:val="0A671243"/>
    <w:rsid w:val="0B2B537E"/>
    <w:rsid w:val="0B892A41"/>
    <w:rsid w:val="0BC6777D"/>
    <w:rsid w:val="0C6241B2"/>
    <w:rsid w:val="0CFD5D93"/>
    <w:rsid w:val="0D2B4E23"/>
    <w:rsid w:val="0DA4166E"/>
    <w:rsid w:val="0E6968C4"/>
    <w:rsid w:val="0E876D2F"/>
    <w:rsid w:val="0EC82FD7"/>
    <w:rsid w:val="0EEA79E8"/>
    <w:rsid w:val="0F87159E"/>
    <w:rsid w:val="0FD9468C"/>
    <w:rsid w:val="10181623"/>
    <w:rsid w:val="1021796C"/>
    <w:rsid w:val="12214BB2"/>
    <w:rsid w:val="12A820AD"/>
    <w:rsid w:val="141C4B77"/>
    <w:rsid w:val="15983E4B"/>
    <w:rsid w:val="15B5130A"/>
    <w:rsid w:val="166516AF"/>
    <w:rsid w:val="167F6B48"/>
    <w:rsid w:val="179B554D"/>
    <w:rsid w:val="17B54B89"/>
    <w:rsid w:val="17D86D23"/>
    <w:rsid w:val="18AF15FD"/>
    <w:rsid w:val="1A097DD9"/>
    <w:rsid w:val="1A8D7BCD"/>
    <w:rsid w:val="1B59783C"/>
    <w:rsid w:val="1BBF797C"/>
    <w:rsid w:val="1C6F0694"/>
    <w:rsid w:val="1CFD6BF3"/>
    <w:rsid w:val="1DEE2CCA"/>
    <w:rsid w:val="2037683E"/>
    <w:rsid w:val="213C6AFC"/>
    <w:rsid w:val="21AC031E"/>
    <w:rsid w:val="21FE5C45"/>
    <w:rsid w:val="223E7710"/>
    <w:rsid w:val="229E0F7C"/>
    <w:rsid w:val="22FB658D"/>
    <w:rsid w:val="23B966E8"/>
    <w:rsid w:val="24EE5A22"/>
    <w:rsid w:val="25590EC9"/>
    <w:rsid w:val="26320AE7"/>
    <w:rsid w:val="26A26CEB"/>
    <w:rsid w:val="277B43E9"/>
    <w:rsid w:val="29981836"/>
    <w:rsid w:val="299D4A4C"/>
    <w:rsid w:val="2A1902C2"/>
    <w:rsid w:val="2A4D74FB"/>
    <w:rsid w:val="2B3013CD"/>
    <w:rsid w:val="2C995D0F"/>
    <w:rsid w:val="2D3E7816"/>
    <w:rsid w:val="2D5B1DD3"/>
    <w:rsid w:val="302E3043"/>
    <w:rsid w:val="30D974B7"/>
    <w:rsid w:val="333663C1"/>
    <w:rsid w:val="336F7BD6"/>
    <w:rsid w:val="33800EB9"/>
    <w:rsid w:val="343C1399"/>
    <w:rsid w:val="34634E47"/>
    <w:rsid w:val="346848DB"/>
    <w:rsid w:val="34CD51E9"/>
    <w:rsid w:val="354F3A99"/>
    <w:rsid w:val="35647FBB"/>
    <w:rsid w:val="357B16F3"/>
    <w:rsid w:val="36050FAB"/>
    <w:rsid w:val="368D196C"/>
    <w:rsid w:val="36D672C3"/>
    <w:rsid w:val="380C6F18"/>
    <w:rsid w:val="38182E0F"/>
    <w:rsid w:val="383303B2"/>
    <w:rsid w:val="3A3173ED"/>
    <w:rsid w:val="3B076549"/>
    <w:rsid w:val="3C1439C6"/>
    <w:rsid w:val="3C5B75D3"/>
    <w:rsid w:val="3C7823C8"/>
    <w:rsid w:val="3CCB1110"/>
    <w:rsid w:val="3DBC2399"/>
    <w:rsid w:val="3DCC4487"/>
    <w:rsid w:val="3E474521"/>
    <w:rsid w:val="3E6F69C8"/>
    <w:rsid w:val="3EC82979"/>
    <w:rsid w:val="3FD1339B"/>
    <w:rsid w:val="3FDE08C1"/>
    <w:rsid w:val="417E4128"/>
    <w:rsid w:val="41B46B47"/>
    <w:rsid w:val="424B79E0"/>
    <w:rsid w:val="42B6751B"/>
    <w:rsid w:val="430845A2"/>
    <w:rsid w:val="434963F7"/>
    <w:rsid w:val="439F612A"/>
    <w:rsid w:val="441344E9"/>
    <w:rsid w:val="44842956"/>
    <w:rsid w:val="44B922E9"/>
    <w:rsid w:val="44F42E3B"/>
    <w:rsid w:val="465E02D2"/>
    <w:rsid w:val="46D84831"/>
    <w:rsid w:val="479D173C"/>
    <w:rsid w:val="499D4ACB"/>
    <w:rsid w:val="4C660503"/>
    <w:rsid w:val="4E72741D"/>
    <w:rsid w:val="4E822997"/>
    <w:rsid w:val="4ED20DFA"/>
    <w:rsid w:val="4F0F5DA2"/>
    <w:rsid w:val="4F306E70"/>
    <w:rsid w:val="4F397E6D"/>
    <w:rsid w:val="504C2BE7"/>
    <w:rsid w:val="50A426AD"/>
    <w:rsid w:val="50B3584C"/>
    <w:rsid w:val="50F251D7"/>
    <w:rsid w:val="515D197F"/>
    <w:rsid w:val="51B50E5A"/>
    <w:rsid w:val="52A62484"/>
    <w:rsid w:val="54573D69"/>
    <w:rsid w:val="545A509F"/>
    <w:rsid w:val="5490274C"/>
    <w:rsid w:val="554830C1"/>
    <w:rsid w:val="559A58F4"/>
    <w:rsid w:val="55BF127A"/>
    <w:rsid w:val="568367ED"/>
    <w:rsid w:val="56B4262E"/>
    <w:rsid w:val="57292C47"/>
    <w:rsid w:val="5807041D"/>
    <w:rsid w:val="58396156"/>
    <w:rsid w:val="583F79D3"/>
    <w:rsid w:val="58691989"/>
    <w:rsid w:val="58F960F8"/>
    <w:rsid w:val="59DC5C6A"/>
    <w:rsid w:val="5A0F7943"/>
    <w:rsid w:val="5B142C77"/>
    <w:rsid w:val="5B3C221E"/>
    <w:rsid w:val="5C1E1084"/>
    <w:rsid w:val="5DD82E17"/>
    <w:rsid w:val="5EE01EF7"/>
    <w:rsid w:val="60F035C2"/>
    <w:rsid w:val="61387591"/>
    <w:rsid w:val="61E25FCA"/>
    <w:rsid w:val="63E45615"/>
    <w:rsid w:val="66E87CA1"/>
    <w:rsid w:val="6783747A"/>
    <w:rsid w:val="67BB44D3"/>
    <w:rsid w:val="69AD4D95"/>
    <w:rsid w:val="6A315ABB"/>
    <w:rsid w:val="6A38444C"/>
    <w:rsid w:val="6A660AE8"/>
    <w:rsid w:val="6A87598F"/>
    <w:rsid w:val="6B851ED6"/>
    <w:rsid w:val="6C421F5D"/>
    <w:rsid w:val="6DD3687C"/>
    <w:rsid w:val="6FA61CA4"/>
    <w:rsid w:val="701C116B"/>
    <w:rsid w:val="703849D5"/>
    <w:rsid w:val="711712EF"/>
    <w:rsid w:val="71776FF6"/>
    <w:rsid w:val="724A4C98"/>
    <w:rsid w:val="74B57A97"/>
    <w:rsid w:val="770017D6"/>
    <w:rsid w:val="7757254C"/>
    <w:rsid w:val="77C81C4C"/>
    <w:rsid w:val="793439F5"/>
    <w:rsid w:val="796E3D99"/>
    <w:rsid w:val="7A1F70EE"/>
    <w:rsid w:val="7AE32E2F"/>
    <w:rsid w:val="7B8D7C88"/>
    <w:rsid w:val="7B974470"/>
    <w:rsid w:val="7C252C88"/>
    <w:rsid w:val="7C316DE3"/>
    <w:rsid w:val="7D606D40"/>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2</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2021-02-22T01:54:48Z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