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hAnsi="宋体" w:cs="宋体"/>
          <w:b/>
          <w:bCs/>
          <w:kern w:val="0"/>
          <w:sz w:val="44"/>
          <w:szCs w:val="44"/>
        </w:rPr>
      </w:pPr>
      <w:r>
        <w:rPr>
          <w:rFonts w:hint="eastAsia" w:ascii="宋体" w:hAnsi="宋体" w:cs="宋体"/>
          <w:b/>
          <w:bCs/>
          <w:kern w:val="0"/>
          <w:sz w:val="44"/>
          <w:szCs w:val="44"/>
        </w:rPr>
        <w:t>钢构公司2021年度劳务协作单位</w:t>
      </w:r>
    </w:p>
    <w:p>
      <w:pPr>
        <w:autoSpaceDE w:val="0"/>
        <w:autoSpaceDN w:val="0"/>
        <w:adjustRightInd w:val="0"/>
        <w:jc w:val="center"/>
        <w:rPr>
          <w:rFonts w:ascii="宋体" w:hAnsi="宋体" w:cs="宋体"/>
          <w:b/>
          <w:bCs/>
          <w:kern w:val="0"/>
          <w:sz w:val="44"/>
          <w:szCs w:val="44"/>
        </w:rPr>
      </w:pPr>
      <w:r>
        <w:rPr>
          <w:rFonts w:hint="eastAsia" w:ascii="宋体" w:hAnsi="宋体" w:cs="宋体"/>
          <w:b/>
          <w:bCs/>
          <w:kern w:val="0"/>
          <w:sz w:val="44"/>
          <w:szCs w:val="44"/>
        </w:rPr>
        <w:t>（门窗安装类）</w:t>
      </w:r>
    </w:p>
    <w:p>
      <w:pPr>
        <w:spacing w:line="480" w:lineRule="auto"/>
        <w:jc w:val="center"/>
        <w:rPr>
          <w:rFonts w:ascii="宋体" w:hAnsi="宋体" w:cs="宋体"/>
          <w:b/>
          <w:bCs/>
          <w:kern w:val="0"/>
          <w:sz w:val="96"/>
          <w:szCs w:val="96"/>
        </w:rPr>
      </w:pPr>
    </w:p>
    <w:p>
      <w:pPr>
        <w:spacing w:line="480" w:lineRule="auto"/>
        <w:jc w:val="center"/>
        <w:rPr>
          <w:rFonts w:ascii="宋体" w:hAnsi="宋体" w:cs="宋体"/>
          <w:b/>
          <w:bCs/>
          <w:kern w:val="0"/>
          <w:sz w:val="96"/>
          <w:szCs w:val="96"/>
        </w:rPr>
      </w:pPr>
      <w:r>
        <w:rPr>
          <w:rFonts w:hint="eastAsia" w:ascii="宋体" w:hAnsi="宋体" w:cs="宋体"/>
          <w:b/>
          <w:bCs/>
          <w:kern w:val="0"/>
          <w:sz w:val="96"/>
          <w:szCs w:val="96"/>
        </w:rPr>
        <w:t xml:space="preserve"> 招标文件</w:t>
      </w:r>
    </w:p>
    <w:p>
      <w:pPr>
        <w:spacing w:line="440" w:lineRule="exact"/>
        <w:rPr>
          <w:rFonts w:ascii="宋体" w:hAnsi="宋体"/>
          <w:color w:val="000000"/>
          <w:sz w:val="36"/>
          <w:szCs w:val="36"/>
        </w:rPr>
      </w:pPr>
    </w:p>
    <w:p>
      <w:pPr>
        <w:spacing w:line="440" w:lineRule="exact"/>
        <w:jc w:val="center"/>
        <w:rPr>
          <w:rFonts w:hint="eastAsia" w:ascii="宋体" w:hAnsi="宋体" w:eastAsia="宋体"/>
          <w:color w:val="000000"/>
          <w:sz w:val="28"/>
          <w:szCs w:val="28"/>
          <w:lang w:val="en-US" w:eastAsia="zh-CN"/>
        </w:rPr>
      </w:pPr>
      <w:r>
        <w:rPr>
          <w:rFonts w:hint="eastAsia" w:ascii="宋体" w:hAnsi="宋体"/>
          <w:color w:val="000000"/>
          <w:sz w:val="28"/>
          <w:szCs w:val="28"/>
        </w:rPr>
        <w:t>招标编号：TGJA-GGLW-2021-0</w:t>
      </w:r>
      <w:r>
        <w:rPr>
          <w:rFonts w:hint="eastAsia" w:ascii="宋体" w:hAnsi="宋体"/>
          <w:color w:val="000000"/>
          <w:sz w:val="28"/>
          <w:szCs w:val="28"/>
          <w:lang w:val="en-US" w:eastAsia="zh-CN"/>
        </w:rPr>
        <w:t>5</w:t>
      </w: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rPr>
      </w:pPr>
    </w:p>
    <w:p>
      <w:pPr>
        <w:spacing w:line="440" w:lineRule="exact"/>
        <w:rPr>
          <w:rFonts w:ascii="宋体" w:hAnsi="宋体"/>
          <w:color w:val="000000"/>
        </w:rPr>
      </w:pPr>
      <w:r>
        <w:rPr>
          <w:rFonts w:ascii="黑体" w:eastAsia="黑体"/>
          <w:sz w:val="28"/>
        </w:rPr>
        <w:drawing>
          <wp:anchor distT="0" distB="0" distL="114300" distR="114300" simplePos="0" relativeHeight="251659264" behindDoc="1" locked="0" layoutInCell="1" allowOverlap="1">
            <wp:simplePos x="0" y="0"/>
            <wp:positionH relativeFrom="column">
              <wp:posOffset>3810</wp:posOffset>
            </wp:positionH>
            <wp:positionV relativeFrom="paragraph">
              <wp:posOffset>-2910205</wp:posOffset>
            </wp:positionV>
            <wp:extent cx="5274310" cy="3128645"/>
            <wp:effectExtent l="0" t="0" r="2540" b="14605"/>
            <wp:wrapNone/>
            <wp:docPr id="1" name="图片 1"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00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000" cy="3128400"/>
                    </a:xfrm>
                    <a:prstGeom prst="rect">
                      <a:avLst/>
                    </a:prstGeom>
                    <a:noFill/>
                    <a:ln>
                      <a:noFill/>
                    </a:ln>
                  </pic:spPr>
                </pic:pic>
              </a:graphicData>
            </a:graphic>
          </wp:anchor>
        </w:drawing>
      </w:r>
    </w:p>
    <w:p>
      <w:pPr>
        <w:spacing w:line="440" w:lineRule="exact"/>
        <w:rPr>
          <w:rFonts w:ascii="宋体" w:hAnsi="宋体"/>
          <w:color w:val="000000"/>
        </w:rPr>
      </w:pPr>
    </w:p>
    <w:p>
      <w:pPr>
        <w:autoSpaceDE w:val="0"/>
        <w:autoSpaceDN w:val="0"/>
        <w:adjustRightInd w:val="0"/>
        <w:ind w:firstLine="281" w:firstLineChars="100"/>
        <w:rPr>
          <w:b/>
          <w:bCs/>
          <w:sz w:val="28"/>
          <w:szCs w:val="28"/>
        </w:rPr>
      </w:pPr>
    </w:p>
    <w:p>
      <w:pPr>
        <w:autoSpaceDE w:val="0"/>
        <w:autoSpaceDN w:val="0"/>
        <w:adjustRightInd w:val="0"/>
        <w:ind w:firstLine="281" w:firstLineChars="100"/>
        <w:rPr>
          <w:rFonts w:eastAsiaTheme="minorEastAsia"/>
          <w:b/>
          <w:bCs/>
          <w:sz w:val="28"/>
          <w:szCs w:val="28"/>
          <w:u w:val="single"/>
        </w:rPr>
      </w:pPr>
      <w:r>
        <w:rPr>
          <w:rFonts w:hint="eastAsia"/>
          <w:b/>
          <w:bCs/>
          <w:sz w:val="28"/>
          <w:szCs w:val="28"/>
        </w:rPr>
        <w:t>项目名称：</w:t>
      </w:r>
      <w:r>
        <w:rPr>
          <w:rFonts w:hint="eastAsia"/>
          <w:sz w:val="28"/>
          <w:szCs w:val="28"/>
          <w:u w:val="single"/>
        </w:rPr>
        <w:t xml:space="preserve">  </w:t>
      </w:r>
      <w:r>
        <w:rPr>
          <w:rFonts w:hint="eastAsia"/>
          <w:b/>
          <w:bCs/>
          <w:sz w:val="28"/>
          <w:szCs w:val="28"/>
          <w:u w:val="single"/>
        </w:rPr>
        <w:t xml:space="preserve">钢构公司2021年度劳务协作单位（门窗安装类）  </w:t>
      </w:r>
    </w:p>
    <w:p>
      <w:pPr>
        <w:spacing w:line="480" w:lineRule="auto"/>
        <w:ind w:firstLine="281" w:firstLineChars="100"/>
        <w:rPr>
          <w:sz w:val="28"/>
          <w:szCs w:val="28"/>
          <w:u w:val="single"/>
        </w:rPr>
      </w:pPr>
      <w:r>
        <w:rPr>
          <w:rFonts w:hint="eastAsia"/>
          <w:b/>
          <w:bCs/>
          <w:sz w:val="28"/>
          <w:szCs w:val="28"/>
        </w:rPr>
        <w:t xml:space="preserve">招标人: </w:t>
      </w:r>
      <w:r>
        <w:rPr>
          <w:rFonts w:hint="eastAsia"/>
          <w:sz w:val="28"/>
          <w:szCs w:val="28"/>
          <w:u w:val="single"/>
        </w:rPr>
        <w:t xml:space="preserve">       </w:t>
      </w:r>
      <w:r>
        <w:rPr>
          <w:rFonts w:hint="eastAsia"/>
          <w:b/>
          <w:bCs/>
          <w:sz w:val="28"/>
          <w:szCs w:val="36"/>
          <w:u w:val="single"/>
        </w:rPr>
        <w:t>铜陵有色建安钢构有限责任公司</w:t>
      </w:r>
      <w:r>
        <w:rPr>
          <w:rFonts w:hint="eastAsia"/>
          <w:sz w:val="28"/>
          <w:szCs w:val="28"/>
          <w:u w:val="single"/>
        </w:rPr>
        <w:t xml:space="preserve">           </w:t>
      </w:r>
    </w:p>
    <w:p>
      <w:pPr>
        <w:spacing w:line="480" w:lineRule="auto"/>
        <w:ind w:firstLine="281" w:firstLineChars="100"/>
        <w:rPr>
          <w:rFonts w:ascii="宋体" w:hAnsi="宋体" w:cs="宋体"/>
          <w:b/>
          <w:sz w:val="28"/>
          <w:szCs w:val="28"/>
        </w:rPr>
      </w:pPr>
      <w:r>
        <w:rPr>
          <w:rFonts w:hint="eastAsia"/>
          <w:b/>
          <w:bCs/>
          <w:sz w:val="28"/>
          <w:szCs w:val="28"/>
        </w:rPr>
        <w:t>日    期：</w:t>
      </w:r>
      <w:r>
        <w:rPr>
          <w:rFonts w:hint="eastAsia"/>
          <w:sz w:val="28"/>
          <w:szCs w:val="28"/>
          <w:u w:val="single"/>
        </w:rPr>
        <w:t xml:space="preserve">            </w:t>
      </w:r>
      <w:r>
        <w:rPr>
          <w:rFonts w:hint="eastAsia"/>
          <w:b/>
          <w:bCs/>
          <w:sz w:val="28"/>
          <w:szCs w:val="28"/>
          <w:u w:val="single"/>
        </w:rPr>
        <w:t xml:space="preserve"> 2021年3月 </w:t>
      </w:r>
      <w:r>
        <w:rPr>
          <w:rFonts w:hint="eastAsia"/>
          <w:b/>
          <w:bCs/>
          <w:sz w:val="28"/>
          <w:szCs w:val="28"/>
          <w:u w:val="single"/>
          <w:lang w:val="en-US" w:eastAsia="zh-CN"/>
        </w:rPr>
        <w:t>3</w:t>
      </w:r>
      <w:r>
        <w:rPr>
          <w:rFonts w:hint="eastAsia"/>
          <w:b/>
          <w:bCs/>
          <w:sz w:val="28"/>
          <w:szCs w:val="28"/>
          <w:u w:val="single"/>
        </w:rPr>
        <w:t xml:space="preserve">日 </w:t>
      </w:r>
      <w:r>
        <w:rPr>
          <w:rFonts w:hint="eastAsia"/>
          <w:sz w:val="28"/>
          <w:szCs w:val="28"/>
          <w:u w:val="single"/>
        </w:rPr>
        <w:t xml:space="preserve">              </w:t>
      </w:r>
    </w:p>
    <w:p>
      <w:pPr>
        <w:ind w:left="3840" w:hanging="3840"/>
        <w:jc w:val="center"/>
        <w:rPr>
          <w:rFonts w:ascii="宋体" w:hAnsi="宋体"/>
          <w:b/>
          <w:color w:val="000000"/>
          <w:sz w:val="32"/>
          <w:szCs w:val="32"/>
        </w:rPr>
      </w:pPr>
    </w:p>
    <w:p>
      <w:pPr>
        <w:spacing w:line="360" w:lineRule="auto"/>
        <w:rPr>
          <w:rFonts w:ascii="黑体" w:hAnsi="黑体" w:eastAsia="黑体" w:cs="黑体"/>
          <w:sz w:val="28"/>
          <w:szCs w:val="28"/>
        </w:rPr>
      </w:pPr>
      <w:r>
        <w:rPr>
          <w:rFonts w:hint="eastAsia" w:ascii="黑体" w:hAnsi="黑体" w:eastAsia="黑体" w:cs="黑体"/>
          <w:sz w:val="28"/>
          <w:szCs w:val="28"/>
        </w:rPr>
        <w:t>一、招标形式及说明：</w:t>
      </w:r>
    </w:p>
    <w:p>
      <w:pPr>
        <w:spacing w:line="360" w:lineRule="auto"/>
        <w:rPr>
          <w:rFonts w:ascii="黑体" w:hAnsi="黑体" w:eastAsia="黑体" w:cs="黑体"/>
          <w:sz w:val="28"/>
          <w:szCs w:val="28"/>
        </w:rPr>
      </w:pPr>
      <w:r>
        <w:rPr>
          <w:rFonts w:hint="eastAsia" w:ascii="黑体" w:hAnsi="黑体" w:eastAsia="黑体" w:cs="黑体"/>
          <w:sz w:val="28"/>
          <w:szCs w:val="28"/>
        </w:rPr>
        <w:t>、招标形式及说明：</w:t>
      </w:r>
    </w:p>
    <w:p>
      <w:pPr>
        <w:widowControl/>
        <w:shd w:val="clear" w:color="auto" w:fill="FFFFFF"/>
        <w:spacing w:line="52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、本次招标为钢构公司2021年劳务协作单位招标（门窗安装类），为公开招标，投标人需为独立法人的劳务公司或具有门窗安装专业承包资质。投标人须有门窗安装经验，</w:t>
      </w:r>
      <w:r>
        <w:rPr>
          <w:rFonts w:hint="eastAsia" w:ascii="宋体" w:hAnsi="宋体" w:cs="宋体"/>
          <w:color w:val="000000" w:themeColor="text1"/>
          <w:sz w:val="28"/>
          <w:szCs w:val="28"/>
        </w:rPr>
        <w:t>能独立完成</w:t>
      </w:r>
      <w:r>
        <w:rPr>
          <w:rFonts w:hint="eastAsia" w:ascii="宋体" w:hAnsi="宋体" w:cs="宋体"/>
          <w:sz w:val="28"/>
          <w:szCs w:val="28"/>
        </w:rPr>
        <w:t>项目门窗安装工程。</w:t>
      </w:r>
    </w:p>
    <w:p>
      <w:pPr>
        <w:widowControl/>
        <w:shd w:val="clear" w:color="auto" w:fill="FFFFFF"/>
        <w:spacing w:line="520" w:lineRule="exact"/>
        <w:ind w:firstLine="560" w:firstLineChars="200"/>
        <w:jc w:val="left"/>
        <w:rPr>
          <w:rFonts w:ascii="宋体" w:hAnsi="宋体" w:cs="宋体"/>
          <w:sz w:val="28"/>
          <w:szCs w:val="28"/>
        </w:rPr>
      </w:pPr>
      <w:r>
        <w:rPr>
          <w:rFonts w:ascii="宋体" w:hAnsi="宋体" w:cs="宋体"/>
          <w:sz w:val="28"/>
          <w:szCs w:val="28"/>
        </w:rPr>
        <w:t>2</w:t>
      </w:r>
      <w:r>
        <w:rPr>
          <w:rFonts w:hint="eastAsia" w:ascii="宋体" w:hAnsi="宋体" w:cs="宋体"/>
          <w:sz w:val="28"/>
          <w:szCs w:val="28"/>
        </w:rPr>
        <w:t>、自公告之日起至</w:t>
      </w:r>
      <w:r>
        <w:rPr>
          <w:rFonts w:ascii="宋体" w:hAnsi="宋体" w:cs="宋体"/>
          <w:sz w:val="28"/>
          <w:szCs w:val="28"/>
        </w:rPr>
        <w:t>202</w:t>
      </w:r>
      <w:r>
        <w:rPr>
          <w:rFonts w:hint="eastAsia" w:ascii="宋体" w:hAnsi="宋体" w:cs="宋体"/>
          <w:sz w:val="28"/>
          <w:szCs w:val="28"/>
        </w:rPr>
        <w:t>1</w:t>
      </w:r>
      <w:r>
        <w:rPr>
          <w:rFonts w:hint="eastAsia" w:ascii="宋体" w:hAnsi="宋体" w:cs="宋体"/>
          <w:color w:val="000000" w:themeColor="text1"/>
          <w:sz w:val="28"/>
          <w:szCs w:val="28"/>
        </w:rPr>
        <w:t>年3月 10日</w:t>
      </w:r>
      <w:r>
        <w:rPr>
          <w:rFonts w:hint="eastAsia" w:ascii="宋体" w:hAnsi="宋体" w:cs="宋体"/>
          <w:sz w:val="28"/>
          <w:szCs w:val="28"/>
        </w:rPr>
        <w:t>前，</w:t>
      </w:r>
      <w:r>
        <w:rPr>
          <w:rFonts w:hint="eastAsia" w:ascii="宋体" w:hAnsi="宋体" w:cs="宋体"/>
          <w:color w:val="000000" w:themeColor="text1"/>
          <w:sz w:val="28"/>
          <w:szCs w:val="28"/>
        </w:rPr>
        <w:t>潜在投标人携带相关资质证明文件原件到钢构公司二楼技术质计部进行资质审查，审查通过后填写报名登记表。联系人：陈瑜：13705621556</w:t>
      </w:r>
    </w:p>
    <w:p>
      <w:pPr>
        <w:spacing w:line="360" w:lineRule="auto"/>
        <w:rPr>
          <w:rFonts w:ascii="黑体" w:hAnsi="黑体" w:eastAsia="黑体" w:cs="黑体"/>
          <w:sz w:val="28"/>
          <w:szCs w:val="28"/>
        </w:rPr>
      </w:pPr>
      <w:r>
        <w:rPr>
          <w:rFonts w:hint="eastAsia" w:ascii="黑体" w:hAnsi="黑体" w:eastAsia="黑体" w:cs="黑体"/>
          <w:sz w:val="28"/>
          <w:szCs w:val="28"/>
        </w:rPr>
        <w:t>二、投标文件格式及送达：</w:t>
      </w:r>
    </w:p>
    <w:p>
      <w:pPr>
        <w:spacing w:line="360" w:lineRule="auto"/>
        <w:ind w:firstLine="560" w:firstLineChars="200"/>
        <w:rPr>
          <w:rFonts w:ascii="宋体" w:hAnsi="宋体" w:cs="宋体"/>
          <w:color w:val="000000" w:themeColor="text1"/>
          <w:sz w:val="28"/>
          <w:szCs w:val="28"/>
        </w:rPr>
      </w:pPr>
      <w:r>
        <w:rPr>
          <w:rFonts w:hint="eastAsia" w:ascii="宋体" w:hAnsi="宋体" w:cs="宋体"/>
          <w:sz w:val="28"/>
          <w:szCs w:val="28"/>
        </w:rPr>
        <w:t>1、</w:t>
      </w:r>
      <w:r>
        <w:rPr>
          <w:rFonts w:hint="eastAsia" w:ascii="宋体" w:hAnsi="宋体" w:cs="宋体"/>
          <w:color w:val="000000" w:themeColor="text1"/>
          <w:sz w:val="28"/>
          <w:szCs w:val="28"/>
        </w:rPr>
        <w:t>投标文件包含以下部分：</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① 承诺书(见附表一)</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②年度劳务协作协议书(见附表二)</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③投标报价表（见附表三）</w:t>
      </w:r>
    </w:p>
    <w:p>
      <w:pPr>
        <w:spacing w:line="360" w:lineRule="auto"/>
        <w:ind w:firstLine="560" w:firstLineChars="200"/>
        <w:rPr>
          <w:rFonts w:ascii="宋体" w:hAnsi="宋体" w:cs="宋体"/>
          <w:color w:val="000000" w:themeColor="text1"/>
          <w:sz w:val="28"/>
          <w:szCs w:val="28"/>
        </w:rPr>
      </w:pPr>
      <w:r>
        <w:rPr>
          <w:rFonts w:hint="eastAsia" w:ascii="华文宋体" w:hAnsi="华文宋体" w:eastAsia="华文宋体" w:cs="华文宋体"/>
          <w:color w:val="000000" w:themeColor="text1"/>
          <w:sz w:val="28"/>
          <w:szCs w:val="28"/>
        </w:rPr>
        <w:t>④</w:t>
      </w:r>
      <w:r>
        <w:rPr>
          <w:rFonts w:hint="eastAsia" w:ascii="宋体" w:hAnsi="宋体" w:cs="宋体"/>
          <w:color w:val="000000" w:themeColor="text1"/>
          <w:sz w:val="28"/>
          <w:szCs w:val="28"/>
        </w:rPr>
        <w:t>投标人身份证复印件、公司营业执照或资质证明文件。</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投标文件送达地点：铜冠建安公司三楼投标文件接收室；收件人：黄赟；联系电话：18656211500。</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投标文件密封在一个档案袋内，在封面上盖公章并且写上工程名称、招标编号及劳务单位，报价表上盖公章并法定代表人签字。</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承包方式：施工内容包工不包料，班组自备施工机具，车间提供施工所需的电源接驳点，由劳务队伍接驳至施工位置，住宿及通勤自行解决。</w:t>
      </w:r>
    </w:p>
    <w:p>
      <w:pPr>
        <w:numPr>
          <w:ilvl w:val="0"/>
          <w:numId w:val="1"/>
        </w:numPr>
        <w:spacing w:line="360" w:lineRule="auto"/>
        <w:ind w:firstLine="560" w:firstLineChars="200"/>
        <w:rPr>
          <w:rFonts w:ascii="宋体" w:hAnsi="宋体" w:cs="宋体"/>
          <w:sz w:val="28"/>
          <w:szCs w:val="28"/>
        </w:rPr>
      </w:pPr>
      <w:r>
        <w:rPr>
          <w:rFonts w:hint="eastAsia" w:ascii="宋体" w:hAnsi="宋体" w:cs="宋体"/>
          <w:color w:val="000000" w:themeColor="text1"/>
          <w:sz w:val="28"/>
          <w:szCs w:val="28"/>
        </w:rPr>
        <w:t>所需劳动力人数：根据不同施工阶段，要保证工期进度，视情况随时调整劳动力。</w:t>
      </w:r>
    </w:p>
    <w:p>
      <w:pPr>
        <w:numPr>
          <w:ilvl w:val="0"/>
          <w:numId w:val="1"/>
        </w:numPr>
        <w:spacing w:line="360" w:lineRule="auto"/>
        <w:ind w:firstLine="560" w:firstLineChars="200"/>
        <w:rPr>
          <w:rFonts w:ascii="宋体" w:hAnsi="宋体" w:cs="宋体"/>
          <w:b/>
          <w:bCs/>
          <w:sz w:val="28"/>
          <w:szCs w:val="28"/>
        </w:rPr>
      </w:pPr>
      <w:r>
        <w:rPr>
          <w:rFonts w:hint="eastAsia" w:ascii="宋体" w:hAnsi="宋体" w:cs="宋体"/>
          <w:sz w:val="28"/>
          <w:szCs w:val="28"/>
        </w:rPr>
        <w:t>提交投标文件截止日期：2021年 3月10 日上午9:00</w:t>
      </w:r>
    </w:p>
    <w:p>
      <w:pPr>
        <w:numPr>
          <w:ilvl w:val="0"/>
          <w:numId w:val="1"/>
        </w:numPr>
        <w:spacing w:line="360" w:lineRule="auto"/>
        <w:ind w:firstLine="562" w:firstLineChars="200"/>
        <w:rPr>
          <w:rFonts w:ascii="宋体" w:hAnsi="宋体" w:cs="宋体"/>
          <w:b/>
          <w:bCs/>
          <w:sz w:val="28"/>
          <w:szCs w:val="28"/>
        </w:rPr>
      </w:pPr>
      <w:r>
        <w:rPr>
          <w:rFonts w:hint="eastAsia" w:ascii="宋体" w:hAnsi="宋体" w:cs="宋体"/>
          <w:b/>
          <w:bCs/>
          <w:sz w:val="28"/>
          <w:szCs w:val="28"/>
        </w:rPr>
        <w:t>开标日期:</w:t>
      </w:r>
      <w:r>
        <w:rPr>
          <w:rFonts w:hint="eastAsia" w:ascii="宋体" w:hAnsi="宋体" w:cs="宋体"/>
          <w:sz w:val="28"/>
          <w:szCs w:val="28"/>
        </w:rPr>
        <w:t>2021年3月 10日上午9:00</w:t>
      </w:r>
    </w:p>
    <w:p>
      <w:pPr>
        <w:spacing w:line="360" w:lineRule="auto"/>
        <w:rPr>
          <w:rFonts w:ascii="黑体" w:hAnsi="黑体" w:eastAsia="黑体" w:cs="黑体"/>
          <w:sz w:val="28"/>
          <w:szCs w:val="28"/>
        </w:rPr>
      </w:pPr>
      <w:r>
        <w:rPr>
          <w:rFonts w:hint="eastAsia" w:ascii="黑体" w:hAnsi="黑体" w:eastAsia="黑体" w:cs="黑体"/>
          <w:sz w:val="28"/>
          <w:szCs w:val="28"/>
        </w:rPr>
        <w:t>三、评标方式：</w:t>
      </w:r>
    </w:p>
    <w:p>
      <w:pPr>
        <w:spacing w:line="360" w:lineRule="auto"/>
        <w:ind w:firstLine="560" w:firstLineChars="200"/>
        <w:rPr>
          <w:rFonts w:ascii="宋体" w:hAnsi="宋体" w:cs="宋体"/>
          <w:sz w:val="28"/>
          <w:szCs w:val="28"/>
        </w:rPr>
      </w:pPr>
      <w:r>
        <w:rPr>
          <w:rFonts w:hint="eastAsia" w:ascii="宋体" w:hAnsi="宋体" w:cs="宋体"/>
          <w:sz w:val="28"/>
          <w:szCs w:val="28"/>
        </w:rPr>
        <w:t>1、采用合理价中标。</w:t>
      </w:r>
    </w:p>
    <w:p>
      <w:pPr>
        <w:spacing w:line="360" w:lineRule="auto"/>
        <w:ind w:firstLine="560" w:firstLineChars="200"/>
        <w:rPr>
          <w:rFonts w:ascii="宋体" w:hAnsi="宋体" w:cs="宋体"/>
          <w:sz w:val="28"/>
          <w:szCs w:val="28"/>
        </w:rPr>
      </w:pPr>
      <w:r>
        <w:rPr>
          <w:rFonts w:hint="eastAsia" w:ascii="宋体" w:hAnsi="宋体" w:cs="宋体"/>
          <w:sz w:val="28"/>
          <w:szCs w:val="28"/>
        </w:rPr>
        <w:t>2、评标委员会推荐2-3名为中标人。</w:t>
      </w:r>
    </w:p>
    <w:p>
      <w:pPr>
        <w:spacing w:line="360" w:lineRule="auto"/>
        <w:rPr>
          <w:rFonts w:ascii="黑体" w:hAnsi="黑体" w:eastAsia="黑体" w:cs="黑体"/>
          <w:sz w:val="28"/>
          <w:szCs w:val="28"/>
        </w:rPr>
      </w:pPr>
      <w:r>
        <w:rPr>
          <w:rFonts w:hint="eastAsia" w:ascii="宋体" w:hAnsi="宋体" w:cs="宋体"/>
          <w:sz w:val="28"/>
          <w:szCs w:val="28"/>
        </w:rPr>
        <w:t>四</w:t>
      </w:r>
      <w:r>
        <w:rPr>
          <w:rFonts w:hint="eastAsia" w:ascii="黑体" w:hAnsi="黑体" w:eastAsia="黑体" w:cs="黑体"/>
          <w:sz w:val="28"/>
          <w:szCs w:val="28"/>
        </w:rPr>
        <w:t>、合同签订：</w:t>
      </w:r>
    </w:p>
    <w:p>
      <w:pPr>
        <w:spacing w:line="360" w:lineRule="auto"/>
        <w:ind w:firstLine="560" w:firstLineChars="200"/>
        <w:rPr>
          <w:rFonts w:ascii="宋体" w:hAnsi="宋体" w:cs="宋体"/>
          <w:sz w:val="28"/>
          <w:szCs w:val="28"/>
        </w:rPr>
      </w:pPr>
      <w:r>
        <w:rPr>
          <w:rFonts w:hint="eastAsia" w:ascii="宋体" w:hAnsi="宋体" w:cs="宋体"/>
          <w:sz w:val="28"/>
          <w:szCs w:val="28"/>
        </w:rPr>
        <w:t>1、招标人和中标人在招标人接履约保证金后7日内，按照招标文件和中标人的投标文件订立书面合同。</w:t>
      </w:r>
    </w:p>
    <w:p>
      <w:pPr>
        <w:spacing w:line="360" w:lineRule="auto"/>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五、其他要求：</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1、所有进场施工人员必须体检合格，并有工伤保险或额度为100万以上的意外伤害保险；施工人员必须穿戴统一工作服、安全帽、劳保鞋，配备统一工作服、安全帽、劳保鞋的费用在劳务费用中扣除。</w:t>
      </w:r>
    </w:p>
    <w:p>
      <w:pPr>
        <w:spacing w:line="480" w:lineRule="exact"/>
        <w:ind w:firstLine="562" w:firstLineChars="200"/>
        <w:jc w:val="left"/>
        <w:rPr>
          <w:rFonts w:ascii="宋体" w:hAnsi="宋体"/>
          <w:b/>
          <w:bCs/>
          <w:color w:val="000000" w:themeColor="text1"/>
          <w:sz w:val="28"/>
          <w:szCs w:val="28"/>
        </w:rPr>
      </w:pPr>
      <w:r>
        <w:rPr>
          <w:rFonts w:hint="eastAsia" w:ascii="宋体" w:hAnsi="宋体" w:cs="宋体"/>
          <w:b/>
          <w:bCs/>
          <w:color w:val="000000" w:themeColor="text1"/>
          <w:sz w:val="28"/>
          <w:szCs w:val="28"/>
        </w:rPr>
        <w:t>2、</w:t>
      </w:r>
      <w:r>
        <w:rPr>
          <w:rFonts w:hint="eastAsia" w:ascii="宋体" w:hAnsi="宋体"/>
          <w:b/>
          <w:bCs/>
          <w:color w:val="000000" w:themeColor="text1"/>
          <w:sz w:val="28"/>
          <w:szCs w:val="28"/>
        </w:rPr>
        <w:t>投标前需交纳伍仟元（5000元）投标保证金（前期合作队伍可用劳务费余额冲抵），中标后转为安全、合同履约保证金。中标后不履行合同，不退保证金。</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安全、质量、工期、文明施工等需受招标人委托的项目部管控，符合招标人相关要求。安全、质量、文明施工未满足要求视情形要求扣除中标人500-2000元违约金，情节严重招标人可终止合同并追偿。工期未满足要求视情形要求扣除中标人2000-5000元违约金，并扣除5%-20%的当月任务量，情节严重招标人可终止合同并追偿。</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jc w:val="center"/>
        <w:rPr>
          <w:b/>
          <w:bCs/>
          <w:sz w:val="44"/>
          <w:szCs w:val="52"/>
        </w:rPr>
      </w:pPr>
    </w:p>
    <w:p>
      <w:pPr>
        <w:rPr>
          <w:rFonts w:eastAsiaTheme="minorEastAsia"/>
          <w:b/>
          <w:bCs/>
          <w:sz w:val="28"/>
          <w:szCs w:val="36"/>
        </w:rPr>
      </w:pPr>
      <w:r>
        <w:rPr>
          <w:rFonts w:hint="eastAsia"/>
          <w:b/>
          <w:bCs/>
          <w:sz w:val="28"/>
          <w:szCs w:val="36"/>
        </w:rPr>
        <w:t>附表一、承诺书</w:t>
      </w:r>
    </w:p>
    <w:p>
      <w:pPr>
        <w:spacing w:line="480" w:lineRule="auto"/>
        <w:jc w:val="center"/>
        <w:rPr>
          <w:rFonts w:ascii="宋体" w:hAnsi="宋体"/>
          <w:color w:val="000000"/>
          <w:sz w:val="24"/>
          <w:szCs w:val="24"/>
          <w:u w:val="double"/>
        </w:rPr>
      </w:pPr>
      <w:r>
        <w:rPr>
          <w:rFonts w:hint="eastAsia" w:ascii="宋体" w:hAnsi="宋体"/>
          <w:color w:val="000000"/>
          <w:sz w:val="24"/>
          <w:szCs w:val="24"/>
          <w:u w:val="double"/>
        </w:rPr>
        <w:t xml:space="preserve">工期、质量及安全承诺书 </w:t>
      </w:r>
    </w:p>
    <w:p>
      <w:pPr>
        <w:ind w:firstLine="235" w:firstLineChars="98"/>
        <w:rPr>
          <w:rFonts w:ascii="宋体" w:hAnsi="宋体"/>
          <w:color w:val="000000"/>
          <w:sz w:val="24"/>
          <w:szCs w:val="24"/>
        </w:rPr>
      </w:pPr>
      <w:r>
        <w:rPr>
          <w:rFonts w:hint="eastAsia"/>
          <w:sz w:val="24"/>
          <w:szCs w:val="24"/>
        </w:rPr>
        <w:t>钢构公司2021年度劳务协作单位（</w:t>
      </w:r>
      <w:r>
        <w:rPr>
          <w:rFonts w:hint="eastAsia"/>
          <w:sz w:val="24"/>
          <w:szCs w:val="24"/>
          <w:lang w:eastAsia="zh-CN"/>
        </w:rPr>
        <w:t>门窗安装</w:t>
      </w:r>
      <w:r>
        <w:rPr>
          <w:rFonts w:hint="eastAsia"/>
          <w:sz w:val="24"/>
          <w:szCs w:val="24"/>
        </w:rPr>
        <w:t>类）</w:t>
      </w:r>
    </w:p>
    <w:tbl>
      <w:tblPr>
        <w:tblStyle w:val="4"/>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3118"/>
        <w:gridCol w:w="165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1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项目内容</w:t>
            </w:r>
          </w:p>
        </w:tc>
        <w:tc>
          <w:tcPr>
            <w:tcW w:w="3118"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约定内容</w:t>
            </w:r>
          </w:p>
        </w:tc>
        <w:tc>
          <w:tcPr>
            <w:tcW w:w="1650"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承 诺</w:t>
            </w:r>
          </w:p>
        </w:tc>
        <w:tc>
          <w:tcPr>
            <w:tcW w:w="170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61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工  期</w:t>
            </w:r>
          </w:p>
        </w:tc>
        <w:tc>
          <w:tcPr>
            <w:tcW w:w="3118"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响应现场指令单要求</w:t>
            </w:r>
          </w:p>
        </w:tc>
        <w:tc>
          <w:tcPr>
            <w:tcW w:w="1650" w:type="dxa"/>
            <w:vAlign w:val="center"/>
          </w:tcPr>
          <w:p>
            <w:pPr>
              <w:spacing w:line="360" w:lineRule="exact"/>
              <w:jc w:val="center"/>
              <w:rPr>
                <w:rFonts w:ascii="宋体" w:hAnsi="宋体"/>
                <w:color w:val="000000"/>
                <w:sz w:val="24"/>
                <w:szCs w:val="24"/>
              </w:rPr>
            </w:pPr>
          </w:p>
        </w:tc>
        <w:tc>
          <w:tcPr>
            <w:tcW w:w="1701" w:type="dxa"/>
            <w:vAlign w:val="center"/>
          </w:tcPr>
          <w:p>
            <w:pPr>
              <w:spacing w:line="3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61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质量标准</w:t>
            </w:r>
          </w:p>
        </w:tc>
        <w:tc>
          <w:tcPr>
            <w:tcW w:w="3118"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合  格</w:t>
            </w:r>
          </w:p>
        </w:tc>
        <w:tc>
          <w:tcPr>
            <w:tcW w:w="1650" w:type="dxa"/>
            <w:vAlign w:val="center"/>
          </w:tcPr>
          <w:p>
            <w:pPr>
              <w:spacing w:line="360" w:lineRule="exact"/>
              <w:jc w:val="center"/>
              <w:rPr>
                <w:rFonts w:ascii="宋体" w:hAnsi="宋体"/>
                <w:color w:val="000000"/>
                <w:sz w:val="24"/>
                <w:szCs w:val="24"/>
              </w:rPr>
            </w:pPr>
          </w:p>
        </w:tc>
        <w:tc>
          <w:tcPr>
            <w:tcW w:w="1701" w:type="dxa"/>
            <w:vAlign w:val="center"/>
          </w:tcPr>
          <w:p>
            <w:pPr>
              <w:spacing w:line="3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61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安全环保</w:t>
            </w:r>
          </w:p>
        </w:tc>
        <w:tc>
          <w:tcPr>
            <w:tcW w:w="3118" w:type="dxa"/>
            <w:vAlign w:val="center"/>
          </w:tcPr>
          <w:p>
            <w:pPr>
              <w:spacing w:line="360" w:lineRule="exact"/>
              <w:rPr>
                <w:rFonts w:ascii="宋体" w:hAnsi="宋体"/>
                <w:color w:val="000000"/>
                <w:sz w:val="24"/>
                <w:szCs w:val="24"/>
              </w:rPr>
            </w:pPr>
            <w:r>
              <w:rPr>
                <w:rFonts w:hint="eastAsia" w:ascii="宋体" w:hAnsi="宋体"/>
                <w:color w:val="000000"/>
                <w:sz w:val="24"/>
                <w:szCs w:val="24"/>
              </w:rPr>
              <w:t>安全环保无事故，文明施工</w:t>
            </w:r>
          </w:p>
        </w:tc>
        <w:tc>
          <w:tcPr>
            <w:tcW w:w="1650" w:type="dxa"/>
            <w:vAlign w:val="center"/>
          </w:tcPr>
          <w:p>
            <w:pPr>
              <w:spacing w:line="360" w:lineRule="exact"/>
              <w:jc w:val="center"/>
              <w:rPr>
                <w:rFonts w:ascii="宋体" w:hAnsi="宋体"/>
                <w:color w:val="000000"/>
                <w:sz w:val="24"/>
                <w:szCs w:val="24"/>
              </w:rPr>
            </w:pPr>
          </w:p>
        </w:tc>
        <w:tc>
          <w:tcPr>
            <w:tcW w:w="1701" w:type="dxa"/>
            <w:vAlign w:val="center"/>
          </w:tcPr>
          <w:p>
            <w:pPr>
              <w:spacing w:line="360" w:lineRule="exact"/>
              <w:jc w:val="center"/>
              <w:rPr>
                <w:rFonts w:ascii="宋体" w:hAnsi="宋体"/>
                <w:color w:val="000000"/>
                <w:szCs w:val="21"/>
              </w:rPr>
            </w:pPr>
            <w:r>
              <w:rPr>
                <w:rFonts w:hint="eastAsia" w:ascii="宋体" w:hAnsi="宋体"/>
                <w:color w:val="000000"/>
                <w:szCs w:val="21"/>
              </w:rPr>
              <w:t>按规定缴纳相关费用</w:t>
            </w:r>
          </w:p>
        </w:tc>
      </w:tr>
    </w:tbl>
    <w:p>
      <w:pPr>
        <w:pStyle w:val="9"/>
        <w:spacing w:line="360" w:lineRule="auto"/>
        <w:ind w:right="-874" w:rightChars="-416"/>
        <w:rPr>
          <w:rFonts w:ascii="宋体" w:hAnsi="宋体"/>
          <w:color w:val="000000"/>
          <w:sz w:val="24"/>
          <w:szCs w:val="24"/>
        </w:rPr>
      </w:pPr>
    </w:p>
    <w:p>
      <w:pPr>
        <w:spacing w:line="440" w:lineRule="exact"/>
        <w:ind w:firstLine="5400" w:firstLineChars="2250"/>
        <w:rPr>
          <w:rFonts w:ascii="宋体" w:hAnsi="宋体" w:cs="Arial"/>
          <w:sz w:val="24"/>
        </w:rPr>
      </w:pPr>
      <w:r>
        <w:rPr>
          <w:rFonts w:hint="eastAsia" w:ascii="宋体" w:hAnsi="宋体" w:cs="Arial"/>
          <w:sz w:val="24"/>
        </w:rPr>
        <w:t>投标单位</w:t>
      </w:r>
      <w:r>
        <w:rPr>
          <w:rFonts w:ascii="宋体" w:hAnsi="宋体" w:cs="Arial"/>
          <w:sz w:val="24"/>
        </w:rPr>
        <w:t>：</w:t>
      </w:r>
      <w:r>
        <w:rPr>
          <w:rFonts w:hint="eastAsia" w:ascii="宋体" w:hAnsi="宋体" w:cs="Arial"/>
          <w:sz w:val="24"/>
        </w:rPr>
        <w:t>（公章）</w:t>
      </w:r>
    </w:p>
    <w:p>
      <w:pPr>
        <w:spacing w:line="440" w:lineRule="exact"/>
        <w:ind w:firstLine="5400" w:firstLineChars="2250"/>
        <w:rPr>
          <w:rFonts w:ascii="宋体" w:hAnsi="宋体" w:cs="Arial"/>
          <w:sz w:val="24"/>
        </w:rPr>
      </w:pPr>
      <w:r>
        <w:rPr>
          <w:rFonts w:hint="eastAsia" w:ascii="宋体" w:hAnsi="宋体" w:cs="Arial"/>
          <w:sz w:val="24"/>
        </w:rPr>
        <w:t>法定代表人</w:t>
      </w:r>
      <w:r>
        <w:rPr>
          <w:rFonts w:ascii="宋体" w:hAnsi="宋体" w:cs="Arial"/>
          <w:sz w:val="24"/>
        </w:rPr>
        <w:t>：</w:t>
      </w:r>
      <w:r>
        <w:rPr>
          <w:rFonts w:hint="eastAsia" w:ascii="宋体" w:hAnsi="宋体" w:cs="Arial"/>
          <w:sz w:val="24"/>
        </w:rPr>
        <w:t>（签字）</w:t>
      </w:r>
    </w:p>
    <w:p>
      <w:pPr>
        <w:pStyle w:val="8"/>
        <w:spacing w:line="700" w:lineRule="exact"/>
        <w:ind w:left="480" w:firstLine="0" w:firstLineChars="0"/>
        <w:jc w:val="left"/>
        <w:rPr>
          <w:rFonts w:ascii="宋体" w:hAnsi="宋体" w:cs="宋体"/>
          <w:szCs w:val="21"/>
          <w:u w:val="single"/>
        </w:rPr>
      </w:pP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日  期：   年    月    日</w:t>
      </w:r>
      <w:r>
        <w:rPr>
          <w:rFonts w:hint="eastAsia" w:ascii="宋体" w:hAnsi="宋体" w:cs="宋体"/>
          <w:szCs w:val="21"/>
          <w:u w:val="single"/>
        </w:rPr>
        <w:t xml:space="preserve">    </w:t>
      </w:r>
    </w:p>
    <w:p>
      <w:pPr>
        <w:ind w:left="3840" w:hanging="3840"/>
        <w:jc w:val="center"/>
        <w:rPr>
          <w:rFonts w:ascii="宋体" w:hAnsi="宋体"/>
          <w:b/>
          <w:color w:val="000000"/>
          <w:sz w:val="32"/>
          <w:szCs w:val="32"/>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rFonts w:hint="eastAsia"/>
          <w:b/>
          <w:bCs/>
          <w:color w:val="000000" w:themeColor="text1"/>
          <w:sz w:val="28"/>
          <w:szCs w:val="36"/>
        </w:rPr>
      </w:pPr>
    </w:p>
    <w:p>
      <w:pPr>
        <w:rPr>
          <w:rFonts w:hint="eastAsia"/>
          <w:b/>
          <w:bCs/>
          <w:color w:val="000000" w:themeColor="text1"/>
          <w:sz w:val="28"/>
          <w:szCs w:val="36"/>
        </w:rPr>
      </w:pPr>
    </w:p>
    <w:p>
      <w:pPr>
        <w:rPr>
          <w:b/>
          <w:bCs/>
          <w:color w:val="000000" w:themeColor="text1"/>
          <w:sz w:val="28"/>
          <w:szCs w:val="36"/>
        </w:rPr>
      </w:pPr>
    </w:p>
    <w:p>
      <w:pPr>
        <w:rPr>
          <w:b/>
          <w:bCs/>
          <w:color w:val="000000" w:themeColor="text1"/>
          <w:sz w:val="44"/>
          <w:szCs w:val="52"/>
        </w:rPr>
      </w:pPr>
      <w:r>
        <w:rPr>
          <w:rFonts w:hint="eastAsia"/>
          <w:b/>
          <w:bCs/>
          <w:color w:val="000000" w:themeColor="text1"/>
          <w:sz w:val="28"/>
          <w:szCs w:val="36"/>
        </w:rPr>
        <w:t>表二</w:t>
      </w:r>
    </w:p>
    <w:p>
      <w:pPr>
        <w:jc w:val="center"/>
        <w:rPr>
          <w:b/>
          <w:bCs/>
          <w:color w:val="000000" w:themeColor="text1"/>
          <w:sz w:val="44"/>
          <w:szCs w:val="52"/>
        </w:rPr>
      </w:pPr>
      <w:r>
        <w:rPr>
          <w:rFonts w:hint="eastAsia"/>
          <w:b/>
          <w:bCs/>
          <w:color w:val="000000" w:themeColor="text1"/>
          <w:sz w:val="32"/>
          <w:szCs w:val="40"/>
        </w:rPr>
        <w:t>年度劳务协作协议书</w:t>
      </w:r>
    </w:p>
    <w:p>
      <w:pPr>
        <w:jc w:val="left"/>
        <w:rPr>
          <w:b/>
          <w:bCs/>
          <w:color w:val="000000" w:themeColor="text1"/>
          <w:sz w:val="28"/>
          <w:szCs w:val="36"/>
        </w:rPr>
      </w:pPr>
      <w:r>
        <w:rPr>
          <w:rFonts w:hint="eastAsia"/>
          <w:b/>
          <w:bCs/>
          <w:color w:val="000000" w:themeColor="text1"/>
          <w:sz w:val="28"/>
          <w:szCs w:val="36"/>
        </w:rPr>
        <w:t>甲方:铜陵有色建安钢构有限责任公司</w:t>
      </w:r>
    </w:p>
    <w:p>
      <w:pPr>
        <w:jc w:val="left"/>
        <w:rPr>
          <w:b/>
          <w:bCs/>
          <w:color w:val="000000" w:themeColor="text1"/>
          <w:sz w:val="28"/>
          <w:szCs w:val="36"/>
        </w:rPr>
      </w:pPr>
      <w:r>
        <w:rPr>
          <w:rFonts w:hint="eastAsia"/>
          <w:b/>
          <w:bCs/>
          <w:color w:val="000000" w:themeColor="text1"/>
          <w:sz w:val="28"/>
          <w:szCs w:val="36"/>
        </w:rPr>
        <w:t>乙方:</w:t>
      </w:r>
    </w:p>
    <w:p>
      <w:pPr>
        <w:ind w:firstLine="560" w:firstLineChars="200"/>
        <w:jc w:val="left"/>
        <w:rPr>
          <w:color w:val="000000" w:themeColor="text1"/>
          <w:sz w:val="28"/>
          <w:szCs w:val="36"/>
        </w:rPr>
      </w:pPr>
      <w:r>
        <w:rPr>
          <w:rFonts w:hint="eastAsia"/>
          <w:color w:val="000000" w:themeColor="text1"/>
          <w:sz w:val="28"/>
          <w:szCs w:val="36"/>
        </w:rPr>
        <w:t>为了规范公司劳务分包用工行为，培育外协劳务队伍，建立长期稳固合作关系，本着平等自愿的原则，就双方的责任、权力、义务等事项，经甲乙双方友好协商，达成以下合作协议:</w:t>
      </w:r>
    </w:p>
    <w:p>
      <w:pPr>
        <w:jc w:val="left"/>
        <w:rPr>
          <w:b/>
          <w:bCs/>
          <w:color w:val="000000" w:themeColor="text1"/>
          <w:sz w:val="28"/>
          <w:szCs w:val="36"/>
        </w:rPr>
      </w:pPr>
      <w:r>
        <w:rPr>
          <w:rFonts w:hint="eastAsia"/>
          <w:b/>
          <w:bCs/>
          <w:color w:val="000000" w:themeColor="text1"/>
          <w:sz w:val="28"/>
          <w:szCs w:val="36"/>
        </w:rPr>
        <w:t>一、分包单位要求</w:t>
      </w:r>
    </w:p>
    <w:p>
      <w:pPr>
        <w:spacing w:line="360" w:lineRule="auto"/>
        <w:ind w:firstLine="560" w:firstLineChars="200"/>
        <w:rPr>
          <w:color w:val="000000" w:themeColor="text1"/>
          <w:sz w:val="28"/>
          <w:szCs w:val="36"/>
        </w:rPr>
      </w:pPr>
      <w:r>
        <w:rPr>
          <w:rFonts w:hint="eastAsia"/>
          <w:color w:val="000000" w:themeColor="text1"/>
          <w:sz w:val="28"/>
          <w:szCs w:val="36"/>
        </w:rPr>
        <w:t>1、要求乙方具备承包建筑劳务资质，劳务人员必须年满18周岁至60周岁以下，有体检合格报告，需提供无犯罪记录证明及</w:t>
      </w:r>
      <w:r>
        <w:rPr>
          <w:rFonts w:hint="eastAsia" w:ascii="宋体" w:hAnsi="宋体" w:cs="宋体"/>
          <w:color w:val="000000" w:themeColor="text1"/>
          <w:sz w:val="28"/>
          <w:szCs w:val="28"/>
        </w:rPr>
        <w:t>80万以上的雇主责任险</w:t>
      </w:r>
      <w:r>
        <w:rPr>
          <w:rFonts w:hint="eastAsia"/>
          <w:color w:val="000000" w:themeColor="text1"/>
          <w:sz w:val="28"/>
          <w:szCs w:val="36"/>
        </w:rPr>
        <w:t>和劳务人员与劳务公司签订的合同，各种证件必须真实合法有效，特殊工种必须持证上岗，如提供虚假资料，由乙方承担一切责任。</w:t>
      </w:r>
    </w:p>
    <w:p>
      <w:pPr>
        <w:ind w:firstLine="560" w:firstLineChars="200"/>
        <w:jc w:val="left"/>
        <w:rPr>
          <w:color w:val="000000" w:themeColor="text1"/>
          <w:sz w:val="28"/>
          <w:szCs w:val="36"/>
        </w:rPr>
      </w:pPr>
      <w:r>
        <w:rPr>
          <w:rFonts w:hint="eastAsia"/>
          <w:color w:val="000000" w:themeColor="text1"/>
          <w:sz w:val="28"/>
          <w:szCs w:val="36"/>
        </w:rPr>
        <w:t>2、服从甲方统一协调和管理，施工人员必须穿戴统一工作服、安全帽、劳保鞋等防护用品(费用在劳务费中扣除)。</w:t>
      </w:r>
    </w:p>
    <w:p>
      <w:pPr>
        <w:ind w:firstLine="560" w:firstLineChars="200"/>
        <w:jc w:val="left"/>
        <w:rPr>
          <w:color w:val="000000" w:themeColor="text1"/>
          <w:sz w:val="28"/>
          <w:szCs w:val="36"/>
        </w:rPr>
      </w:pPr>
      <w:r>
        <w:rPr>
          <w:rFonts w:hint="eastAsia"/>
          <w:color w:val="000000" w:themeColor="text1"/>
          <w:sz w:val="28"/>
          <w:szCs w:val="36"/>
        </w:rPr>
        <w:t>3、现场劳务人员必须实名制考勤，甲方提供考勤设备，乙方劳务人员全天上下班共各考勤四次，每月根据考勤记录提供由劳务人员确认的工资表，配合甲方完善相关代付手续。</w:t>
      </w:r>
    </w:p>
    <w:p>
      <w:pPr>
        <w:ind w:firstLine="560" w:firstLineChars="200"/>
        <w:jc w:val="left"/>
        <w:rPr>
          <w:rFonts w:eastAsiaTheme="minorEastAsia"/>
          <w:color w:val="000000" w:themeColor="text1"/>
          <w:sz w:val="28"/>
          <w:szCs w:val="36"/>
        </w:rPr>
      </w:pPr>
      <w:r>
        <w:rPr>
          <w:rFonts w:hint="eastAsia"/>
          <w:color w:val="000000" w:themeColor="text1"/>
          <w:sz w:val="28"/>
          <w:szCs w:val="36"/>
        </w:rPr>
        <w:t>4、乙方当月发生的合同以外的内容，签证需当月办理完成，次月入帐。如未按规定时间办理视同乙方自动放弃。签证原则上依据工程量计价，确实不能计量的按工日计价，工日单价执行当期铜陵市信息价。</w:t>
      </w:r>
    </w:p>
    <w:p>
      <w:pPr>
        <w:ind w:firstLine="560" w:firstLineChars="200"/>
        <w:jc w:val="left"/>
        <w:rPr>
          <w:color w:val="000000" w:themeColor="text1"/>
          <w:sz w:val="28"/>
          <w:szCs w:val="36"/>
        </w:rPr>
      </w:pPr>
      <w:r>
        <w:rPr>
          <w:rFonts w:hint="eastAsia"/>
          <w:color w:val="000000" w:themeColor="text1"/>
          <w:sz w:val="28"/>
          <w:szCs w:val="36"/>
        </w:rPr>
        <w:t>5、其它具体要求根据项目建设工程劳务分包合同确定。</w:t>
      </w:r>
    </w:p>
    <w:p>
      <w:pPr>
        <w:numPr>
          <w:ilvl w:val="0"/>
          <w:numId w:val="2"/>
        </w:numPr>
        <w:jc w:val="left"/>
        <w:rPr>
          <w:b/>
          <w:bCs/>
          <w:color w:val="000000" w:themeColor="text1"/>
          <w:sz w:val="28"/>
          <w:szCs w:val="36"/>
        </w:rPr>
      </w:pPr>
      <w:r>
        <w:rPr>
          <w:rFonts w:hint="eastAsia"/>
          <w:b/>
          <w:bCs/>
          <w:color w:val="000000" w:themeColor="text1"/>
          <w:sz w:val="28"/>
          <w:szCs w:val="36"/>
        </w:rPr>
        <w:t>分包范围、价款</w:t>
      </w:r>
    </w:p>
    <w:p>
      <w:pPr>
        <w:ind w:firstLine="560" w:firstLineChars="200"/>
        <w:jc w:val="left"/>
        <w:rPr>
          <w:color w:val="000000" w:themeColor="text1"/>
          <w:sz w:val="28"/>
          <w:szCs w:val="36"/>
        </w:rPr>
      </w:pPr>
      <w:r>
        <w:rPr>
          <w:rFonts w:hint="eastAsia"/>
          <w:color w:val="000000" w:themeColor="text1"/>
          <w:sz w:val="28"/>
          <w:szCs w:val="36"/>
        </w:rPr>
        <w:t>1、工程劳务分包 : 以甲方与乙方签定的具体分包合同为准，分包工程范围、价格、要求，按实际工程量计算，具体按每次的分包协议内容执行。</w:t>
      </w:r>
    </w:p>
    <w:p>
      <w:pPr>
        <w:jc w:val="left"/>
        <w:rPr>
          <w:b/>
          <w:bCs/>
          <w:color w:val="000000" w:themeColor="text1"/>
          <w:sz w:val="28"/>
          <w:szCs w:val="36"/>
        </w:rPr>
      </w:pPr>
      <w:r>
        <w:rPr>
          <w:rFonts w:hint="eastAsia"/>
          <w:b/>
          <w:bCs/>
          <w:color w:val="000000" w:themeColor="text1"/>
          <w:sz w:val="28"/>
          <w:szCs w:val="36"/>
        </w:rPr>
        <w:t>三、结算方式</w:t>
      </w:r>
    </w:p>
    <w:p>
      <w:pPr>
        <w:spacing w:line="440" w:lineRule="exact"/>
        <w:ind w:firstLine="560" w:firstLineChars="200"/>
        <w:rPr>
          <w:color w:val="000000" w:themeColor="text1"/>
          <w:sz w:val="28"/>
          <w:szCs w:val="36"/>
        </w:rPr>
      </w:pPr>
      <w:r>
        <w:rPr>
          <w:rFonts w:hint="eastAsia"/>
          <w:color w:val="000000" w:themeColor="text1"/>
          <w:sz w:val="28"/>
          <w:szCs w:val="36"/>
        </w:rPr>
        <w:t>每月25日按当月实际完成工程量开具劳务结算单，乙方凭劳务结算单向甲方开具3%增值税专用发票，甲方当月入帐，入账后的第二个月付至发票价40%，春节前累计付至发票价80%，余款自第二次付款之日起满两年内付清。</w:t>
      </w:r>
    </w:p>
    <w:p>
      <w:pPr>
        <w:jc w:val="left"/>
        <w:rPr>
          <w:b/>
          <w:bCs/>
          <w:color w:val="000000" w:themeColor="text1"/>
          <w:sz w:val="28"/>
          <w:szCs w:val="36"/>
        </w:rPr>
      </w:pPr>
      <w:r>
        <w:rPr>
          <w:rFonts w:hint="eastAsia"/>
          <w:b/>
          <w:bCs/>
          <w:color w:val="000000" w:themeColor="text1"/>
          <w:sz w:val="28"/>
          <w:szCs w:val="36"/>
        </w:rPr>
        <w:t>四、质量验收标准</w:t>
      </w:r>
    </w:p>
    <w:p>
      <w:pPr>
        <w:ind w:firstLine="560" w:firstLineChars="200"/>
        <w:jc w:val="left"/>
        <w:rPr>
          <w:color w:val="000000" w:themeColor="text1"/>
          <w:sz w:val="28"/>
          <w:szCs w:val="36"/>
        </w:rPr>
      </w:pPr>
      <w:r>
        <w:rPr>
          <w:rFonts w:hint="eastAsia"/>
          <w:color w:val="000000" w:themeColor="text1"/>
          <w:sz w:val="28"/>
          <w:szCs w:val="36"/>
        </w:rPr>
        <w:t>1、在施工中应按国家现行颁布的操作规程及验收规范标准施工，业主或总包方有特殊要求的，乙方应严格按要求施工，乙方必须保证其承包的工程符合规范，质量达到合格标准同时接受甲方管理人员的监督，并执行甲方的质量管理制度和经相关质检部门统一验收。</w:t>
      </w:r>
    </w:p>
    <w:p>
      <w:pPr>
        <w:ind w:firstLine="560" w:firstLineChars="200"/>
        <w:jc w:val="left"/>
        <w:rPr>
          <w:color w:val="000000" w:themeColor="text1"/>
          <w:sz w:val="28"/>
          <w:szCs w:val="36"/>
        </w:rPr>
      </w:pPr>
      <w:r>
        <w:rPr>
          <w:rFonts w:hint="eastAsia"/>
          <w:color w:val="000000" w:themeColor="text1"/>
          <w:sz w:val="28"/>
          <w:szCs w:val="36"/>
        </w:rPr>
        <w:t>2、在施工中甲方现场管理人员及相关质检部门发现质量不合格的，乙方应在甲方规定的期限内予以整改，工期不予顺延。若乙方在甲方规定的期限内未予修复的，甲方有权解除合同，同时甲方有权另行委托其他有资质单位整改，乙方除应向甲方支</w:t>
      </w:r>
      <w:r>
        <w:rPr>
          <w:rFonts w:hint="eastAsia"/>
          <w:color w:val="000000" w:themeColor="text1"/>
          <w:sz w:val="28"/>
          <w:szCs w:val="36"/>
          <w:u w:val="single"/>
        </w:rPr>
        <w:t>10%</w:t>
      </w:r>
      <w:r>
        <w:rPr>
          <w:rFonts w:hint="eastAsia"/>
          <w:color w:val="000000" w:themeColor="text1"/>
          <w:sz w:val="28"/>
          <w:szCs w:val="36"/>
        </w:rPr>
        <w:t>的违约金外，还应据实赔偿。不足以补偿甲方相应损失的，乙方承担甲方所有剩余相应损失。</w:t>
      </w:r>
    </w:p>
    <w:p>
      <w:pPr>
        <w:jc w:val="left"/>
        <w:rPr>
          <w:b/>
          <w:bCs/>
          <w:color w:val="000000" w:themeColor="text1"/>
          <w:sz w:val="28"/>
          <w:szCs w:val="36"/>
        </w:rPr>
      </w:pPr>
      <w:r>
        <w:rPr>
          <w:rFonts w:hint="eastAsia"/>
          <w:b/>
          <w:bCs/>
          <w:color w:val="000000" w:themeColor="text1"/>
          <w:sz w:val="28"/>
          <w:szCs w:val="36"/>
        </w:rPr>
        <w:t>五、工程安全</w:t>
      </w:r>
    </w:p>
    <w:p>
      <w:pPr>
        <w:ind w:firstLine="560" w:firstLineChars="200"/>
        <w:jc w:val="left"/>
        <w:rPr>
          <w:color w:val="000000" w:themeColor="text1"/>
          <w:sz w:val="28"/>
          <w:szCs w:val="36"/>
        </w:rPr>
      </w:pPr>
      <w:r>
        <w:rPr>
          <w:rFonts w:hint="eastAsia"/>
          <w:color w:val="000000" w:themeColor="text1"/>
          <w:sz w:val="28"/>
          <w:szCs w:val="36"/>
        </w:rPr>
        <w:t>1、乙方在施工过程中，应严格按国家相关施工安全标准和有关规范条例执行，应符合现行验收规范标准。</w:t>
      </w:r>
    </w:p>
    <w:p>
      <w:pPr>
        <w:ind w:firstLine="560" w:firstLineChars="200"/>
        <w:jc w:val="left"/>
        <w:rPr>
          <w:color w:val="000000" w:themeColor="text1"/>
          <w:sz w:val="28"/>
          <w:szCs w:val="36"/>
        </w:rPr>
      </w:pPr>
      <w:r>
        <w:rPr>
          <w:rFonts w:hint="eastAsia"/>
          <w:color w:val="000000" w:themeColor="text1"/>
          <w:sz w:val="28"/>
          <w:szCs w:val="36"/>
        </w:rPr>
        <w:t>2、乙方应加强对操作人员进行安全意识教育。严格遵守甲方的对于安全严管重罚的规定。</w:t>
      </w:r>
    </w:p>
    <w:p>
      <w:pPr>
        <w:ind w:firstLine="560" w:firstLineChars="200"/>
        <w:jc w:val="left"/>
        <w:rPr>
          <w:color w:val="000000" w:themeColor="text1"/>
          <w:sz w:val="28"/>
          <w:szCs w:val="36"/>
        </w:rPr>
      </w:pPr>
      <w:r>
        <w:rPr>
          <w:rFonts w:hint="eastAsia"/>
          <w:color w:val="000000" w:themeColor="text1"/>
          <w:sz w:val="28"/>
          <w:szCs w:val="36"/>
        </w:rPr>
        <w:t>3、乙方负责施工期间的一切安全责任，若乙方在施工期间出现一切安全事故，由乙方自行承担经济损失及法律责任。如果甲方因此导致任何赔偿或损失，均可向乙方追偿，甲方可从应付而未付的工程款中扣除，不足部分，甲方仍可要求乙方承担。</w:t>
      </w:r>
    </w:p>
    <w:p>
      <w:pPr>
        <w:ind w:firstLine="560" w:firstLineChars="200"/>
        <w:jc w:val="left"/>
        <w:rPr>
          <w:color w:val="000000" w:themeColor="text1"/>
          <w:sz w:val="28"/>
          <w:szCs w:val="36"/>
        </w:rPr>
      </w:pPr>
      <w:r>
        <w:rPr>
          <w:rFonts w:hint="eastAsia"/>
          <w:color w:val="000000" w:themeColor="text1"/>
          <w:sz w:val="28"/>
          <w:szCs w:val="36"/>
        </w:rPr>
        <w:t>4、乙方应办理劳务人员体检、意外伤害保险，并承担相应费用。应在进入施工现场前完成钢构公司(外协单位)岗前安全确认表手续。否则，因此产生安全纠纷、损失、费用由乙方负全部责任。</w:t>
      </w:r>
    </w:p>
    <w:p>
      <w:pPr>
        <w:jc w:val="left"/>
        <w:rPr>
          <w:b/>
          <w:bCs/>
          <w:color w:val="000000" w:themeColor="text1"/>
          <w:sz w:val="28"/>
          <w:szCs w:val="36"/>
        </w:rPr>
      </w:pPr>
      <w:r>
        <w:rPr>
          <w:rFonts w:hint="eastAsia"/>
          <w:b/>
          <w:bCs/>
          <w:color w:val="000000" w:themeColor="text1"/>
          <w:sz w:val="28"/>
          <w:szCs w:val="36"/>
        </w:rPr>
        <w:t>六、双方权利与义务</w:t>
      </w:r>
    </w:p>
    <w:p>
      <w:pPr>
        <w:ind w:firstLine="560" w:firstLineChars="200"/>
        <w:jc w:val="left"/>
        <w:rPr>
          <w:color w:val="000000" w:themeColor="text1"/>
          <w:sz w:val="28"/>
          <w:szCs w:val="36"/>
        </w:rPr>
      </w:pPr>
      <w:r>
        <w:rPr>
          <w:rFonts w:hint="eastAsia"/>
          <w:color w:val="000000" w:themeColor="text1"/>
          <w:sz w:val="28"/>
          <w:szCs w:val="36"/>
        </w:rPr>
        <w:t>(一)甲方</w:t>
      </w:r>
    </w:p>
    <w:p>
      <w:pPr>
        <w:ind w:firstLine="560" w:firstLineChars="200"/>
        <w:jc w:val="left"/>
        <w:rPr>
          <w:color w:val="000000" w:themeColor="text1"/>
          <w:sz w:val="28"/>
          <w:szCs w:val="36"/>
        </w:rPr>
      </w:pPr>
      <w:r>
        <w:rPr>
          <w:rFonts w:hint="eastAsia"/>
          <w:color w:val="000000" w:themeColor="text1"/>
          <w:sz w:val="28"/>
          <w:szCs w:val="36"/>
        </w:rPr>
        <w:t>1、甲方有权对乙方违反合同条款和盗取现场材料及设备设施等实施处罚，并要求经济赔偿直至解除合同的权力。</w:t>
      </w:r>
    </w:p>
    <w:p>
      <w:pPr>
        <w:ind w:firstLine="560" w:firstLineChars="200"/>
        <w:jc w:val="left"/>
        <w:rPr>
          <w:color w:val="000000" w:themeColor="text1"/>
          <w:sz w:val="28"/>
          <w:szCs w:val="36"/>
        </w:rPr>
      </w:pPr>
      <w:r>
        <w:rPr>
          <w:rFonts w:hint="eastAsia"/>
          <w:color w:val="000000" w:themeColor="text1"/>
          <w:sz w:val="28"/>
          <w:szCs w:val="36"/>
        </w:rPr>
        <w:t>2、甲方根据工程要求，安排乙方实施工程承包内容，乙方应无条件遵照执行。</w:t>
      </w:r>
    </w:p>
    <w:p>
      <w:pPr>
        <w:ind w:firstLine="560" w:firstLineChars="200"/>
        <w:jc w:val="left"/>
        <w:rPr>
          <w:color w:val="000000" w:themeColor="text1"/>
          <w:sz w:val="28"/>
          <w:szCs w:val="36"/>
        </w:rPr>
      </w:pPr>
      <w:r>
        <w:rPr>
          <w:rFonts w:hint="eastAsia"/>
          <w:color w:val="000000" w:themeColor="text1"/>
          <w:sz w:val="28"/>
          <w:szCs w:val="36"/>
        </w:rPr>
        <w:t>3、甲方提供给乙方尽可能方便的施工条件，并按合同约定按时支付工程款。</w:t>
      </w:r>
    </w:p>
    <w:p>
      <w:pPr>
        <w:ind w:firstLine="560" w:firstLineChars="200"/>
        <w:jc w:val="left"/>
        <w:rPr>
          <w:color w:val="000000" w:themeColor="text1"/>
          <w:sz w:val="28"/>
          <w:szCs w:val="36"/>
        </w:rPr>
      </w:pPr>
      <w:r>
        <w:rPr>
          <w:rFonts w:hint="eastAsia"/>
          <w:color w:val="000000" w:themeColor="text1"/>
          <w:sz w:val="28"/>
          <w:szCs w:val="36"/>
        </w:rPr>
        <w:t>4、甲方有权要求乙方安全防护按安全文明工地规范实施和操作。</w:t>
      </w:r>
    </w:p>
    <w:p>
      <w:pPr>
        <w:ind w:firstLine="560" w:firstLineChars="200"/>
        <w:jc w:val="left"/>
        <w:rPr>
          <w:color w:val="000000" w:themeColor="text1"/>
          <w:sz w:val="28"/>
          <w:szCs w:val="36"/>
        </w:rPr>
      </w:pPr>
      <w:r>
        <w:rPr>
          <w:rFonts w:hint="eastAsia"/>
          <w:color w:val="000000" w:themeColor="text1"/>
          <w:sz w:val="28"/>
          <w:szCs w:val="36"/>
        </w:rPr>
        <w:t>5、做好技术交底，安排现场管理人员对乙方进行技术指导和工程质量监督管理。</w:t>
      </w:r>
    </w:p>
    <w:p>
      <w:pPr>
        <w:ind w:firstLine="560" w:firstLineChars="200"/>
        <w:jc w:val="left"/>
        <w:rPr>
          <w:color w:val="000000" w:themeColor="text1"/>
          <w:sz w:val="28"/>
          <w:szCs w:val="36"/>
        </w:rPr>
      </w:pPr>
      <w:r>
        <w:rPr>
          <w:rFonts w:hint="eastAsia"/>
          <w:color w:val="000000" w:themeColor="text1"/>
          <w:sz w:val="28"/>
          <w:szCs w:val="36"/>
        </w:rPr>
        <w:t>6、做好安全交底，进行安全宣传教育和安全检查。</w:t>
      </w:r>
    </w:p>
    <w:p>
      <w:pPr>
        <w:ind w:firstLine="560" w:firstLineChars="200"/>
        <w:jc w:val="left"/>
        <w:rPr>
          <w:color w:val="000000" w:themeColor="text1"/>
          <w:sz w:val="28"/>
          <w:szCs w:val="36"/>
        </w:rPr>
      </w:pPr>
      <w:r>
        <w:rPr>
          <w:rFonts w:hint="eastAsia"/>
          <w:color w:val="000000" w:themeColor="text1"/>
          <w:sz w:val="28"/>
          <w:szCs w:val="36"/>
        </w:rPr>
        <w:t>7、甲方尽力协助乙方做好与业主及相关方面的协调沟通工作，确保乙方在施工现场水电的正常使用，保证按合同规定提供必要的物资、资源。</w:t>
      </w:r>
    </w:p>
    <w:p>
      <w:pPr>
        <w:ind w:firstLine="560" w:firstLineChars="200"/>
        <w:jc w:val="left"/>
        <w:rPr>
          <w:color w:val="000000" w:themeColor="text1"/>
          <w:sz w:val="28"/>
          <w:szCs w:val="36"/>
        </w:rPr>
      </w:pPr>
      <w:r>
        <w:rPr>
          <w:rFonts w:hint="eastAsia"/>
          <w:color w:val="000000" w:themeColor="text1"/>
          <w:sz w:val="28"/>
          <w:szCs w:val="36"/>
        </w:rPr>
        <w:t>（二）乙方</w:t>
      </w:r>
    </w:p>
    <w:p>
      <w:pPr>
        <w:ind w:firstLine="560" w:firstLineChars="200"/>
        <w:jc w:val="left"/>
        <w:rPr>
          <w:color w:val="000000" w:themeColor="text1"/>
          <w:sz w:val="28"/>
          <w:szCs w:val="36"/>
        </w:rPr>
      </w:pPr>
      <w:r>
        <w:rPr>
          <w:rFonts w:hint="eastAsia"/>
          <w:color w:val="000000" w:themeColor="text1"/>
          <w:sz w:val="28"/>
          <w:szCs w:val="36"/>
        </w:rPr>
        <w:t>1、乙方必须按甲方的要求、安全技术交底进行安全生产、文明生产，不得擅自违反安全操作规程，对于施工现场出现的人身伤害及伤亡事故，乙方承担全部责任，甲方概不负责。如果甲方因此导致任何赔偿或损失，均可向乙方追偿，甲方可从应付而未付的工程款中扣除，不足部分，甲方仍可要求乙方承担。</w:t>
      </w:r>
    </w:p>
    <w:p>
      <w:pPr>
        <w:ind w:firstLine="560" w:firstLineChars="200"/>
        <w:jc w:val="left"/>
        <w:rPr>
          <w:color w:val="000000" w:themeColor="text1"/>
          <w:sz w:val="28"/>
          <w:szCs w:val="36"/>
        </w:rPr>
      </w:pPr>
      <w:r>
        <w:rPr>
          <w:rFonts w:hint="eastAsia"/>
          <w:color w:val="000000" w:themeColor="text1"/>
          <w:sz w:val="28"/>
          <w:szCs w:val="36"/>
        </w:rPr>
        <w:t>2、乙方应按相关要求组织施工作业人员，在无约定的情況下，自行解决食、宿、行、工具等事项，并安排足够人员进场施工，乙方从业人员要遵守甲方管理及规章制度，不得违背劳动用工规定。因此而产生的纠纷及费用由乙方负完责任，若因此而影响工程施工及工期，并给甲方造损失的，甲方有权依法索赔并追究乙方的法律责任。</w:t>
      </w:r>
    </w:p>
    <w:p>
      <w:pPr>
        <w:ind w:firstLine="560" w:firstLineChars="200"/>
        <w:jc w:val="left"/>
        <w:rPr>
          <w:color w:val="000000" w:themeColor="text1"/>
          <w:sz w:val="28"/>
          <w:szCs w:val="36"/>
        </w:rPr>
      </w:pPr>
      <w:r>
        <w:rPr>
          <w:rFonts w:hint="eastAsia"/>
          <w:color w:val="000000" w:themeColor="text1"/>
          <w:sz w:val="28"/>
          <w:szCs w:val="36"/>
        </w:rPr>
        <w:t>3、乙方按照施工图纸及施工规范和甲方的要求施工，确保质量合格。未经甲方监理、建设单位同意，不得进行设计图变更、技术变更。</w:t>
      </w:r>
    </w:p>
    <w:p>
      <w:pPr>
        <w:ind w:firstLine="560" w:firstLineChars="200"/>
        <w:jc w:val="left"/>
        <w:rPr>
          <w:color w:val="000000" w:themeColor="text1"/>
          <w:sz w:val="28"/>
          <w:szCs w:val="36"/>
        </w:rPr>
      </w:pPr>
      <w:r>
        <w:rPr>
          <w:rFonts w:hint="eastAsia"/>
          <w:color w:val="000000" w:themeColor="text1"/>
          <w:sz w:val="28"/>
          <w:szCs w:val="36"/>
        </w:rPr>
        <w:t>4、材料按甲方指定地点堆码，每天下班前进行现场清理，做到现场干净整洁，工完场清。</w:t>
      </w:r>
    </w:p>
    <w:p>
      <w:pPr>
        <w:ind w:firstLine="560" w:firstLineChars="200"/>
        <w:jc w:val="left"/>
        <w:rPr>
          <w:color w:val="000000" w:themeColor="text1"/>
          <w:sz w:val="28"/>
          <w:szCs w:val="36"/>
        </w:rPr>
      </w:pPr>
      <w:r>
        <w:rPr>
          <w:rFonts w:hint="eastAsia"/>
          <w:color w:val="000000" w:themeColor="text1"/>
          <w:sz w:val="28"/>
          <w:szCs w:val="36"/>
        </w:rPr>
        <w:t>5、乙方领用甲方提供的机械设备、租赁材料必须先办理领用手续再领用，费用按甲方规定收取，工程完后即时归还，如有遗失照价赔偿。</w:t>
      </w:r>
    </w:p>
    <w:p>
      <w:pPr>
        <w:ind w:firstLine="560" w:firstLineChars="200"/>
        <w:jc w:val="left"/>
        <w:rPr>
          <w:color w:val="000000" w:themeColor="text1"/>
          <w:sz w:val="28"/>
          <w:szCs w:val="36"/>
        </w:rPr>
      </w:pPr>
      <w:r>
        <w:rPr>
          <w:rFonts w:hint="eastAsia"/>
          <w:color w:val="000000" w:themeColor="text1"/>
          <w:sz w:val="28"/>
          <w:szCs w:val="36"/>
        </w:rPr>
        <w:t>6、乙方负责人员的全面管理工作，每天进行班前教育和技术交底，并做好记录。</w:t>
      </w:r>
    </w:p>
    <w:p>
      <w:pPr>
        <w:ind w:firstLine="560" w:firstLineChars="200"/>
        <w:jc w:val="left"/>
        <w:rPr>
          <w:color w:val="000000" w:themeColor="text1"/>
          <w:sz w:val="28"/>
          <w:szCs w:val="36"/>
        </w:rPr>
      </w:pPr>
      <w:r>
        <w:rPr>
          <w:rFonts w:hint="eastAsia"/>
          <w:color w:val="000000" w:themeColor="text1"/>
          <w:sz w:val="28"/>
          <w:szCs w:val="36"/>
        </w:rPr>
        <w:t>7、乙方分包工程后，不得转包、再分包；不得以任何理由推诿不做，因此而造成的损失和索赔责任完全由乙方负责，甲方并保留进一步追究乙方违约责任的权利。</w:t>
      </w:r>
    </w:p>
    <w:p>
      <w:pPr>
        <w:jc w:val="left"/>
        <w:rPr>
          <w:b/>
          <w:bCs/>
          <w:color w:val="000000" w:themeColor="text1"/>
          <w:sz w:val="28"/>
          <w:szCs w:val="36"/>
        </w:rPr>
      </w:pPr>
      <w:r>
        <w:rPr>
          <w:rFonts w:hint="eastAsia"/>
          <w:b/>
          <w:bCs/>
          <w:color w:val="000000" w:themeColor="text1"/>
          <w:sz w:val="28"/>
          <w:szCs w:val="36"/>
        </w:rPr>
        <w:t>七、违约责任与其他</w:t>
      </w:r>
    </w:p>
    <w:p>
      <w:pPr>
        <w:ind w:firstLine="560" w:firstLineChars="200"/>
        <w:jc w:val="left"/>
        <w:rPr>
          <w:color w:val="000000" w:themeColor="text1"/>
          <w:sz w:val="28"/>
          <w:szCs w:val="36"/>
        </w:rPr>
      </w:pPr>
      <w:r>
        <w:rPr>
          <w:rFonts w:hint="eastAsia"/>
          <w:color w:val="000000" w:themeColor="text1"/>
          <w:sz w:val="28"/>
          <w:szCs w:val="36"/>
        </w:rPr>
        <w:t>1、以上条款双方严格遵守，任何一方违约，由违约方承担</w:t>
      </w:r>
      <w:r>
        <w:rPr>
          <w:rFonts w:hint="eastAsia"/>
          <w:color w:val="000000" w:themeColor="text1"/>
          <w:sz w:val="28"/>
          <w:szCs w:val="36"/>
          <w:u w:val="single"/>
        </w:rPr>
        <w:t>10%</w:t>
      </w:r>
      <w:r>
        <w:rPr>
          <w:rFonts w:hint="eastAsia"/>
          <w:color w:val="000000" w:themeColor="text1"/>
          <w:sz w:val="28"/>
          <w:szCs w:val="36"/>
        </w:rPr>
        <w:t>的违约金，并赔偿因此给守约方造成的经济损失。</w:t>
      </w:r>
    </w:p>
    <w:p>
      <w:pPr>
        <w:ind w:firstLine="560" w:firstLineChars="200"/>
        <w:jc w:val="left"/>
        <w:rPr>
          <w:color w:val="000000" w:themeColor="text1"/>
          <w:sz w:val="28"/>
          <w:szCs w:val="36"/>
        </w:rPr>
      </w:pPr>
      <w:r>
        <w:rPr>
          <w:rFonts w:hint="eastAsia"/>
          <w:color w:val="000000" w:themeColor="text1"/>
          <w:sz w:val="28"/>
          <w:szCs w:val="36"/>
        </w:rPr>
        <w:t>2、如因乙方原因造成甲方经济损失，甲方有权要求乙方赔偿全部损失，并从承包工程款中扣除。同时有权单方清退乙方并解除劳务合同。除本合同另有约定外，因乙方原因导致本合同提前终止的，乙方应向甲方支付工程总价</w:t>
      </w:r>
      <w:r>
        <w:rPr>
          <w:rFonts w:hint="eastAsia"/>
          <w:color w:val="000000" w:themeColor="text1"/>
          <w:sz w:val="28"/>
          <w:szCs w:val="36"/>
          <w:u w:val="single"/>
        </w:rPr>
        <w:t>10%</w:t>
      </w:r>
      <w:r>
        <w:rPr>
          <w:rFonts w:hint="eastAsia"/>
          <w:color w:val="000000" w:themeColor="text1"/>
          <w:sz w:val="28"/>
          <w:szCs w:val="36"/>
        </w:rPr>
        <w:t>的违约金，并无权向甲方主张未支付的工程款。</w:t>
      </w:r>
    </w:p>
    <w:p>
      <w:pPr>
        <w:ind w:firstLine="560" w:firstLineChars="200"/>
        <w:jc w:val="left"/>
        <w:rPr>
          <w:color w:val="000000" w:themeColor="text1"/>
          <w:sz w:val="28"/>
          <w:szCs w:val="36"/>
        </w:rPr>
      </w:pPr>
      <w:r>
        <w:rPr>
          <w:rFonts w:hint="eastAsia"/>
          <w:color w:val="000000" w:themeColor="text1"/>
          <w:sz w:val="28"/>
          <w:szCs w:val="36"/>
        </w:rPr>
        <w:t>3、工程移交使用后，如甲方发现工程质量不符合约定或者不能满足设计要求，甲方有权随时要求乙方返工、更换、重作，并按每发现一次由乙方承担违约金</w:t>
      </w:r>
      <w:r>
        <w:rPr>
          <w:rFonts w:hint="eastAsia"/>
          <w:color w:val="000000" w:themeColor="text1"/>
          <w:sz w:val="28"/>
          <w:szCs w:val="36"/>
          <w:u w:val="single"/>
        </w:rPr>
        <w:t>500</w:t>
      </w:r>
      <w:r>
        <w:rPr>
          <w:rFonts w:hint="eastAsia"/>
          <w:color w:val="000000" w:themeColor="text1"/>
          <w:sz w:val="28"/>
          <w:szCs w:val="36"/>
        </w:rPr>
        <w:t>元，累计计算；同时由乙方承担由此造成的损失（包括返工、业主索赔等损失）。</w:t>
      </w:r>
    </w:p>
    <w:p>
      <w:pPr>
        <w:ind w:firstLine="560" w:firstLineChars="200"/>
        <w:jc w:val="left"/>
        <w:rPr>
          <w:color w:val="000000" w:themeColor="text1"/>
          <w:sz w:val="28"/>
          <w:szCs w:val="36"/>
        </w:rPr>
      </w:pPr>
      <w:r>
        <w:rPr>
          <w:rFonts w:hint="eastAsia"/>
          <w:color w:val="000000" w:themeColor="text1"/>
          <w:sz w:val="28"/>
          <w:szCs w:val="36"/>
        </w:rPr>
        <w:t>4、工程验收合格后，乙方不得以任何理由(含甲方未按时办理结算手续未按时支付工程款项)拒绝交付工程，乙方必须在甲方通知后10日内无条件退场，乙方拒不退场或延期退场，按每逾期一天5</w:t>
      </w:r>
      <w:r>
        <w:rPr>
          <w:rFonts w:hint="eastAsia"/>
          <w:color w:val="000000" w:themeColor="text1"/>
          <w:sz w:val="28"/>
          <w:szCs w:val="36"/>
          <w:u w:val="single"/>
        </w:rPr>
        <w:t>00</w:t>
      </w:r>
      <w:r>
        <w:rPr>
          <w:rFonts w:hint="eastAsia"/>
          <w:color w:val="000000" w:themeColor="text1"/>
          <w:sz w:val="28"/>
          <w:szCs w:val="36"/>
        </w:rPr>
        <w:t>元承担违约金，造成其他损失的还应承担赔偿，并且甲方有权暂停支付工程款。乙方同意对本工程价款放弃优先受偿权，即不以未付工程款等为理由要求将该工程折价、拍卖优先受偿的权利。</w:t>
      </w:r>
    </w:p>
    <w:p>
      <w:pPr>
        <w:ind w:firstLine="560" w:firstLineChars="200"/>
        <w:jc w:val="left"/>
        <w:rPr>
          <w:color w:val="000000" w:themeColor="text1"/>
          <w:sz w:val="28"/>
          <w:szCs w:val="36"/>
        </w:rPr>
      </w:pPr>
      <w:r>
        <w:rPr>
          <w:rFonts w:hint="eastAsia"/>
          <w:color w:val="000000" w:themeColor="text1"/>
          <w:sz w:val="28"/>
          <w:szCs w:val="36"/>
        </w:rPr>
        <w:t>5、因甲方设计变更和其他责任造成停工、窝工的，由乙方自行调剂，乙方不收取停窝工费。</w:t>
      </w:r>
    </w:p>
    <w:p>
      <w:pPr>
        <w:ind w:firstLine="560" w:firstLineChars="200"/>
        <w:jc w:val="left"/>
        <w:rPr>
          <w:color w:val="000000" w:themeColor="text1"/>
          <w:sz w:val="28"/>
          <w:szCs w:val="36"/>
        </w:rPr>
      </w:pPr>
      <w:r>
        <w:rPr>
          <w:rFonts w:hint="eastAsia"/>
          <w:color w:val="000000" w:themeColor="text1"/>
          <w:sz w:val="28"/>
          <w:szCs w:val="36"/>
        </w:rPr>
        <w:t>6、合同约定的各违约金及罚款可在甲方对乙方进行工程款支付时扣除。</w:t>
      </w:r>
    </w:p>
    <w:p>
      <w:pPr>
        <w:ind w:firstLine="560" w:firstLineChars="200"/>
        <w:jc w:val="left"/>
        <w:rPr>
          <w:color w:val="000000" w:themeColor="text1"/>
          <w:sz w:val="28"/>
          <w:szCs w:val="36"/>
        </w:rPr>
      </w:pPr>
      <w:r>
        <w:rPr>
          <w:rFonts w:hint="eastAsia"/>
          <w:color w:val="000000" w:themeColor="text1"/>
          <w:sz w:val="28"/>
          <w:szCs w:val="36"/>
        </w:rPr>
        <w:t>7、此协议是甲乙双方长期合作的准则与基石，对任何由甲方分包给乙方劳务分包工程合同均具有法律效力。</w:t>
      </w:r>
    </w:p>
    <w:p>
      <w:pPr>
        <w:jc w:val="left"/>
        <w:rPr>
          <w:b/>
          <w:bCs/>
          <w:color w:val="000000" w:themeColor="text1"/>
          <w:sz w:val="28"/>
          <w:szCs w:val="36"/>
        </w:rPr>
      </w:pPr>
      <w:r>
        <w:rPr>
          <w:rFonts w:hint="eastAsia"/>
          <w:b/>
          <w:bCs/>
          <w:color w:val="000000" w:themeColor="text1"/>
          <w:sz w:val="28"/>
          <w:szCs w:val="36"/>
        </w:rPr>
        <w:t>八、本合同在执行过程中如有争议，双方协商解决，若协商不成，依法向甲方所在地人民法院起诉。</w:t>
      </w:r>
    </w:p>
    <w:p>
      <w:pPr>
        <w:jc w:val="left"/>
        <w:rPr>
          <w:b/>
          <w:bCs/>
          <w:color w:val="000000" w:themeColor="text1"/>
          <w:sz w:val="28"/>
          <w:szCs w:val="36"/>
        </w:rPr>
      </w:pPr>
      <w:r>
        <w:rPr>
          <w:rFonts w:hint="eastAsia"/>
          <w:b/>
          <w:bCs/>
          <w:color w:val="000000" w:themeColor="text1"/>
          <w:sz w:val="28"/>
          <w:szCs w:val="36"/>
        </w:rPr>
        <w:t>九、本合同一式陆份，甲方肆份，乙方贰份，经双方签字盖章后生效，具有同等法律效力。</w:t>
      </w:r>
    </w:p>
    <w:p>
      <w:pPr>
        <w:jc w:val="left"/>
        <w:rPr>
          <w:color w:val="000000" w:themeColor="text1"/>
          <w:sz w:val="28"/>
          <w:szCs w:val="36"/>
        </w:rPr>
      </w:pPr>
    </w:p>
    <w:p>
      <w:pPr>
        <w:jc w:val="left"/>
        <w:rPr>
          <w:color w:val="000000" w:themeColor="text1"/>
          <w:sz w:val="28"/>
          <w:szCs w:val="36"/>
          <w:u w:val="single"/>
        </w:rPr>
      </w:pPr>
      <w:r>
        <w:rPr>
          <w:rFonts w:hint="eastAsia"/>
          <w:color w:val="000000" w:themeColor="text1"/>
          <w:sz w:val="28"/>
          <w:szCs w:val="36"/>
        </w:rPr>
        <w:t>甲  方：</w:t>
      </w:r>
      <w:r>
        <w:rPr>
          <w:rFonts w:hint="eastAsia"/>
          <w:color w:val="000000" w:themeColor="text1"/>
          <w:sz w:val="28"/>
          <w:szCs w:val="36"/>
          <w:u w:val="single"/>
        </w:rPr>
        <w:t xml:space="preserve">                   </w:t>
      </w:r>
      <w:r>
        <w:rPr>
          <w:rFonts w:hint="eastAsia"/>
          <w:color w:val="000000" w:themeColor="text1"/>
          <w:sz w:val="28"/>
          <w:szCs w:val="36"/>
        </w:rPr>
        <w:t xml:space="preserve">     乙 方：</w:t>
      </w:r>
      <w:r>
        <w:rPr>
          <w:rFonts w:hint="eastAsia"/>
          <w:color w:val="000000" w:themeColor="text1"/>
          <w:sz w:val="28"/>
          <w:szCs w:val="36"/>
          <w:u w:val="single"/>
        </w:rPr>
        <w:t xml:space="preserve">                   </w:t>
      </w:r>
    </w:p>
    <w:p>
      <w:pPr>
        <w:jc w:val="left"/>
        <w:rPr>
          <w:color w:val="000000" w:themeColor="text1"/>
          <w:sz w:val="28"/>
          <w:szCs w:val="36"/>
        </w:rPr>
      </w:pPr>
      <w:r>
        <w:rPr>
          <w:rFonts w:hint="eastAsia"/>
          <w:color w:val="000000" w:themeColor="text1"/>
          <w:sz w:val="28"/>
          <w:szCs w:val="36"/>
        </w:rPr>
        <w:t xml:space="preserve">                      </w:t>
      </w:r>
    </w:p>
    <w:p>
      <w:pPr>
        <w:ind w:firstLine="280" w:firstLineChars="100"/>
        <w:jc w:val="left"/>
        <w:rPr>
          <w:color w:val="000000" w:themeColor="text1"/>
          <w:sz w:val="28"/>
          <w:szCs w:val="36"/>
        </w:rPr>
      </w:pPr>
    </w:p>
    <w:p>
      <w:pPr>
        <w:ind w:firstLine="840" w:firstLineChars="300"/>
        <w:jc w:val="left"/>
        <w:rPr>
          <w:color w:val="000000" w:themeColor="text1"/>
          <w:sz w:val="28"/>
          <w:szCs w:val="36"/>
        </w:rPr>
      </w:pPr>
      <w:r>
        <w:rPr>
          <w:rFonts w:hint="eastAsia"/>
          <w:color w:val="000000" w:themeColor="text1"/>
          <w:sz w:val="28"/>
          <w:szCs w:val="36"/>
        </w:rPr>
        <w:t>年    月    日                       年   月   日</w:t>
      </w:r>
    </w:p>
    <w:p>
      <w:pPr>
        <w:ind w:firstLine="280" w:firstLineChars="100"/>
        <w:jc w:val="left"/>
        <w:rPr>
          <w:sz w:val="28"/>
          <w:szCs w:val="36"/>
        </w:rPr>
      </w:pPr>
    </w:p>
    <w:p>
      <w:pPr>
        <w:ind w:firstLine="280" w:firstLineChars="100"/>
        <w:jc w:val="left"/>
        <w:rPr>
          <w:sz w:val="28"/>
          <w:szCs w:val="36"/>
        </w:rPr>
      </w:pPr>
    </w:p>
    <w:p>
      <w:pPr>
        <w:ind w:firstLine="280" w:firstLineChars="100"/>
        <w:jc w:val="left"/>
        <w:rPr>
          <w:sz w:val="28"/>
          <w:szCs w:val="36"/>
        </w:rPr>
      </w:pPr>
    </w:p>
    <w:p>
      <w:pPr>
        <w:ind w:firstLine="280" w:firstLineChars="100"/>
        <w:jc w:val="left"/>
        <w:rPr>
          <w:sz w:val="28"/>
          <w:szCs w:val="36"/>
        </w:rPr>
      </w:pPr>
    </w:p>
    <w:p>
      <w:pPr>
        <w:ind w:firstLine="280" w:firstLineChars="100"/>
        <w:jc w:val="left"/>
        <w:rPr>
          <w:sz w:val="28"/>
          <w:szCs w:val="36"/>
        </w:rPr>
      </w:pPr>
    </w:p>
    <w:p>
      <w:pPr>
        <w:jc w:val="left"/>
        <w:rPr>
          <w:sz w:val="28"/>
          <w:szCs w:val="36"/>
        </w:rPr>
      </w:pPr>
    </w:p>
    <w:p>
      <w:pPr>
        <w:spacing w:line="360" w:lineRule="auto"/>
        <w:rPr>
          <w:rFonts w:ascii="宋体" w:cs="宋体"/>
          <w:sz w:val="28"/>
          <w:szCs w:val="28"/>
        </w:rPr>
      </w:pPr>
      <w:r>
        <w:rPr>
          <w:rFonts w:hint="eastAsia" w:ascii="宋体" w:hAnsi="宋体" w:cs="宋体"/>
          <w:sz w:val="28"/>
          <w:szCs w:val="28"/>
        </w:rPr>
        <w:t>附件三</w:t>
      </w:r>
    </w:p>
    <w:p>
      <w:pPr>
        <w:spacing w:line="440" w:lineRule="exact"/>
        <w:jc w:val="center"/>
        <w:rPr>
          <w:rFonts w:ascii="宋体" w:cs="宋体"/>
          <w:sz w:val="30"/>
          <w:szCs w:val="30"/>
        </w:rPr>
      </w:pPr>
      <w:r>
        <w:rPr>
          <w:rFonts w:hint="eastAsia" w:ascii="宋体" w:hAnsi="宋体" w:cs="宋体"/>
          <w:sz w:val="30"/>
          <w:szCs w:val="30"/>
        </w:rPr>
        <w:t>门窗安装类报价表</w:t>
      </w:r>
    </w:p>
    <w:tbl>
      <w:tblPr>
        <w:tblStyle w:val="4"/>
        <w:tblpPr w:leftFromText="180" w:rightFromText="180" w:vertAnchor="text" w:horzAnchor="page" w:tblpX="1140" w:tblpY="238"/>
        <w:tblOverlap w:val="never"/>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164"/>
        <w:gridCol w:w="902"/>
        <w:gridCol w:w="570"/>
        <w:gridCol w:w="1680"/>
        <w:gridCol w:w="137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16" w:type="dxa"/>
          </w:tcPr>
          <w:p>
            <w:pPr>
              <w:snapToGrid w:val="0"/>
              <w:jc w:val="left"/>
              <w:rPr>
                <w:rFonts w:ascii="宋体" w:cs="宋体"/>
                <w:bCs/>
                <w:sz w:val="24"/>
              </w:rPr>
            </w:pPr>
            <w:r>
              <w:rPr>
                <w:rFonts w:hint="eastAsia"/>
                <w:bCs/>
                <w:sz w:val="24"/>
              </w:rPr>
              <w:t>序号</w:t>
            </w:r>
          </w:p>
        </w:tc>
        <w:tc>
          <w:tcPr>
            <w:tcW w:w="2164" w:type="dxa"/>
            <w:vAlign w:val="center"/>
          </w:tcPr>
          <w:p>
            <w:pPr>
              <w:snapToGrid w:val="0"/>
              <w:jc w:val="center"/>
              <w:rPr>
                <w:rFonts w:ascii="宋体" w:cs="宋体"/>
                <w:sz w:val="24"/>
              </w:rPr>
            </w:pPr>
            <w:r>
              <w:rPr>
                <w:rFonts w:hint="eastAsia"/>
                <w:sz w:val="24"/>
              </w:rPr>
              <w:t>工作内容</w:t>
            </w:r>
          </w:p>
        </w:tc>
        <w:tc>
          <w:tcPr>
            <w:tcW w:w="902" w:type="dxa"/>
            <w:vAlign w:val="center"/>
          </w:tcPr>
          <w:p>
            <w:pPr>
              <w:snapToGrid w:val="0"/>
              <w:jc w:val="center"/>
              <w:rPr>
                <w:rFonts w:ascii="宋体" w:cs="宋体"/>
                <w:sz w:val="24"/>
              </w:rPr>
            </w:pPr>
            <w:r>
              <w:rPr>
                <w:rFonts w:hint="eastAsia"/>
                <w:sz w:val="24"/>
              </w:rPr>
              <w:t>安装方式</w:t>
            </w:r>
          </w:p>
        </w:tc>
        <w:tc>
          <w:tcPr>
            <w:tcW w:w="570" w:type="dxa"/>
            <w:vAlign w:val="center"/>
          </w:tcPr>
          <w:p>
            <w:pPr>
              <w:snapToGrid w:val="0"/>
              <w:jc w:val="center"/>
              <w:rPr>
                <w:rFonts w:ascii="宋体" w:cs="宋体"/>
                <w:sz w:val="24"/>
              </w:rPr>
            </w:pPr>
            <w:r>
              <w:rPr>
                <w:rFonts w:hint="eastAsia"/>
                <w:sz w:val="24"/>
              </w:rPr>
              <w:t>单位</w:t>
            </w:r>
          </w:p>
        </w:tc>
        <w:tc>
          <w:tcPr>
            <w:tcW w:w="1680" w:type="dxa"/>
            <w:vAlign w:val="center"/>
          </w:tcPr>
          <w:p>
            <w:pPr>
              <w:snapToGrid w:val="0"/>
              <w:jc w:val="center"/>
              <w:rPr>
                <w:rFonts w:ascii="宋体" w:cs="宋体"/>
                <w:sz w:val="24"/>
              </w:rPr>
            </w:pPr>
            <w:r>
              <w:rPr>
                <w:rFonts w:hint="eastAsia"/>
                <w:sz w:val="24"/>
              </w:rPr>
              <w:t>最高限价</w:t>
            </w:r>
            <w:r>
              <w:rPr>
                <w:rFonts w:hint="eastAsia" w:ascii="宋体" w:hAnsi="宋体" w:cs="宋体"/>
                <w:sz w:val="24"/>
              </w:rPr>
              <w:t>（单位：元）</w:t>
            </w:r>
          </w:p>
        </w:tc>
        <w:tc>
          <w:tcPr>
            <w:tcW w:w="1378" w:type="dxa"/>
            <w:vAlign w:val="center"/>
          </w:tcPr>
          <w:p>
            <w:pPr>
              <w:snapToGrid w:val="0"/>
              <w:jc w:val="center"/>
              <w:rPr>
                <w:rFonts w:ascii="宋体" w:hAnsi="宋体" w:cs="宋体"/>
                <w:sz w:val="24"/>
              </w:rPr>
            </w:pPr>
            <w:r>
              <w:rPr>
                <w:rFonts w:hint="eastAsia" w:ascii="宋体" w:hAnsi="宋体" w:cs="宋体"/>
                <w:sz w:val="24"/>
              </w:rPr>
              <w:t>报价</w:t>
            </w:r>
          </w:p>
          <w:p>
            <w:pPr>
              <w:snapToGrid w:val="0"/>
              <w:jc w:val="center"/>
              <w:rPr>
                <w:rFonts w:ascii="宋体" w:hAnsi="宋体" w:cs="宋体"/>
                <w:sz w:val="24"/>
              </w:rPr>
            </w:pPr>
            <w:r>
              <w:rPr>
                <w:rFonts w:hint="eastAsia" w:ascii="宋体" w:hAnsi="宋体" w:cs="宋体"/>
                <w:sz w:val="24"/>
              </w:rPr>
              <w:t>下浮率</w:t>
            </w:r>
          </w:p>
          <w:p>
            <w:pPr>
              <w:snapToGrid w:val="0"/>
              <w:jc w:val="center"/>
              <w:rPr>
                <w:rFonts w:ascii="宋体" w:cs="宋体"/>
                <w:sz w:val="24"/>
              </w:rPr>
            </w:pPr>
            <w:r>
              <w:rPr>
                <w:rFonts w:hint="eastAsia" w:ascii="宋体" w:hAnsi="宋体" w:cs="宋体"/>
                <w:sz w:val="24"/>
              </w:rPr>
              <w:t>（保留两位小数）</w:t>
            </w:r>
          </w:p>
        </w:tc>
        <w:tc>
          <w:tcPr>
            <w:tcW w:w="2387" w:type="dxa"/>
            <w:vAlign w:val="center"/>
          </w:tcPr>
          <w:p>
            <w:pPr>
              <w:snapToGrid w:val="0"/>
              <w:jc w:val="center"/>
              <w:rPr>
                <w:rFonts w:ascii="宋体" w:cs="宋体"/>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16" w:type="dxa"/>
            <w:vMerge w:val="restart"/>
            <w:vAlign w:val="center"/>
          </w:tcPr>
          <w:p>
            <w:pPr>
              <w:snapToGrid w:val="0"/>
              <w:jc w:val="center"/>
              <w:rPr>
                <w:sz w:val="24"/>
              </w:rPr>
            </w:pPr>
            <w:r>
              <w:rPr>
                <w:sz w:val="24"/>
              </w:rPr>
              <w:t>1</w:t>
            </w:r>
          </w:p>
        </w:tc>
        <w:tc>
          <w:tcPr>
            <w:tcW w:w="2164" w:type="dxa"/>
            <w:vMerge w:val="restart"/>
            <w:vAlign w:val="center"/>
          </w:tcPr>
          <w:p>
            <w:pPr>
              <w:jc w:val="center"/>
              <w:rPr>
                <w:sz w:val="24"/>
              </w:rPr>
            </w:pPr>
            <w:r>
              <w:rPr>
                <w:rFonts w:hint="eastAsia" w:ascii="宋体" w:hAnsi="宋体" w:cs="宋体"/>
                <w:sz w:val="24"/>
              </w:rPr>
              <w:t>单层玻璃推拉窗</w:t>
            </w:r>
          </w:p>
        </w:tc>
        <w:tc>
          <w:tcPr>
            <w:tcW w:w="902" w:type="dxa"/>
            <w:vAlign w:val="center"/>
          </w:tcPr>
          <w:p>
            <w:pPr>
              <w:jc w:val="center"/>
              <w:rPr>
                <w:sz w:val="24"/>
              </w:rPr>
            </w:pPr>
            <w:r>
              <w:rPr>
                <w:rFonts w:hint="eastAsia"/>
                <w:sz w:val="24"/>
              </w:rPr>
              <w:t>砖混</w:t>
            </w:r>
          </w:p>
        </w:tc>
        <w:tc>
          <w:tcPr>
            <w:tcW w:w="570" w:type="dxa"/>
            <w:vMerge w:val="restart"/>
            <w:vAlign w:val="center"/>
          </w:tcPr>
          <w:p>
            <w:pPr>
              <w:jc w:val="center"/>
              <w:rPr>
                <w:sz w:val="24"/>
              </w:rPr>
            </w:pPr>
            <w:r>
              <w:rPr>
                <w:sz w:val="24"/>
              </w:rPr>
              <w:t>m</w:t>
            </w:r>
            <w:r>
              <w:rPr>
                <w:rFonts w:hint="eastAsia"/>
                <w:sz w:val="24"/>
              </w:rPr>
              <w:t>²</w:t>
            </w:r>
          </w:p>
        </w:tc>
        <w:tc>
          <w:tcPr>
            <w:tcW w:w="1680" w:type="dxa"/>
            <w:vAlign w:val="center"/>
          </w:tcPr>
          <w:p>
            <w:pPr>
              <w:jc w:val="center"/>
              <w:rPr>
                <w:sz w:val="24"/>
              </w:rPr>
            </w:pPr>
            <w:r>
              <w:rPr>
                <w:sz w:val="24"/>
              </w:rPr>
              <w:t>23</w:t>
            </w:r>
          </w:p>
        </w:tc>
        <w:tc>
          <w:tcPr>
            <w:tcW w:w="1378" w:type="dxa"/>
            <w:vMerge w:val="restart"/>
            <w:vAlign w:val="center"/>
          </w:tcPr>
          <w:p>
            <w:pPr>
              <w:snapToGrid w:val="0"/>
              <w:jc w:val="center"/>
              <w:rPr>
                <w:sz w:val="24"/>
              </w:rPr>
            </w:pPr>
          </w:p>
        </w:tc>
        <w:tc>
          <w:tcPr>
            <w:tcW w:w="2387" w:type="dxa"/>
            <w:vMerge w:val="restart"/>
            <w:vAlign w:val="center"/>
          </w:tcPr>
          <w:p>
            <w:pPr>
              <w:rPr>
                <w:rFonts w:hint="eastAsia" w:ascii="宋体" w:eastAsia="宋体" w:cs="宋体"/>
                <w:sz w:val="24"/>
                <w:lang w:eastAsia="zh-CN"/>
              </w:rPr>
            </w:pPr>
            <w:r>
              <w:rPr>
                <w:rFonts w:hint="eastAsia"/>
                <w:sz w:val="24"/>
              </w:rPr>
              <w:t>以上门窗安装价格为塑钢、铝合金</w:t>
            </w:r>
            <w:r>
              <w:rPr>
                <w:sz w:val="24"/>
              </w:rPr>
              <w:t xml:space="preserve"> </w:t>
            </w:r>
            <w:r>
              <w:rPr>
                <w:rFonts w:hint="eastAsia"/>
                <w:sz w:val="24"/>
              </w:rPr>
              <w:t>单窗面积</w:t>
            </w:r>
            <w:r>
              <w:rPr>
                <w:rFonts w:ascii="Arial" w:hAnsi="Arial" w:cs="Arial"/>
                <w:sz w:val="24"/>
              </w:rPr>
              <w:t>≥</w:t>
            </w:r>
            <w:r>
              <w:rPr>
                <w:sz w:val="24"/>
              </w:rPr>
              <w:t>2m</w:t>
            </w:r>
            <w:r>
              <w:rPr>
                <w:sz w:val="24"/>
                <w:vertAlign w:val="superscript"/>
              </w:rPr>
              <w:t>2</w:t>
            </w:r>
            <w:r>
              <w:rPr>
                <w:rFonts w:hint="eastAsia"/>
                <w:sz w:val="24"/>
              </w:rPr>
              <w:t>的门窗安装价格，对于单窗面积小于</w:t>
            </w:r>
            <w:r>
              <w:rPr>
                <w:sz w:val="24"/>
              </w:rPr>
              <w:t>2m</w:t>
            </w:r>
            <w:r>
              <w:rPr>
                <w:sz w:val="24"/>
                <w:vertAlign w:val="superscript"/>
              </w:rPr>
              <w:t>2</w:t>
            </w:r>
            <w:r>
              <w:rPr>
                <w:rFonts w:hint="eastAsia"/>
                <w:sz w:val="24"/>
              </w:rPr>
              <w:t>的每平米，按每平米的基础上上浮</w:t>
            </w:r>
            <w:r>
              <w:rPr>
                <w:sz w:val="24"/>
              </w:rPr>
              <w:t>2</w:t>
            </w:r>
            <w:r>
              <w:rPr>
                <w:rFonts w:hint="eastAsia"/>
                <w:sz w:val="24"/>
              </w:rPr>
              <w:t>元；中空玻璃在此限价的基础上增加</w:t>
            </w:r>
            <w:r>
              <w:rPr>
                <w:sz w:val="24"/>
              </w:rPr>
              <w:t>2</w:t>
            </w:r>
            <w:r>
              <w:rPr>
                <w:rFonts w:hint="eastAsia"/>
                <w:sz w:val="24"/>
              </w:rPr>
              <w:t>元；安装窗台高度超过</w:t>
            </w:r>
            <w:r>
              <w:rPr>
                <w:sz w:val="24"/>
              </w:rPr>
              <w:t>10</w:t>
            </w:r>
            <w:r>
              <w:rPr>
                <w:rFonts w:hint="eastAsia"/>
                <w:sz w:val="24"/>
              </w:rPr>
              <w:t>米以上每平方增加</w:t>
            </w:r>
            <w:r>
              <w:rPr>
                <w:sz w:val="24"/>
              </w:rPr>
              <w:t>2</w:t>
            </w:r>
            <w:r>
              <w:rPr>
                <w:rFonts w:hint="eastAsia"/>
                <w:sz w:val="24"/>
              </w:rPr>
              <w:t>元。</w:t>
            </w:r>
            <w:r>
              <w:rPr>
                <w:rFonts w:hint="eastAsia"/>
                <w:sz w:val="24"/>
                <w:lang w:eastAsia="zh-CN"/>
              </w:rPr>
              <w:t>上述价格为铜陵地区项目安装单价。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16" w:type="dxa"/>
            <w:vMerge w:val="continue"/>
            <w:vAlign w:val="center"/>
          </w:tcPr>
          <w:p>
            <w:pPr>
              <w:snapToGrid w:val="0"/>
              <w:jc w:val="center"/>
              <w:rPr>
                <w:sz w:val="24"/>
              </w:rPr>
            </w:pPr>
          </w:p>
        </w:tc>
        <w:tc>
          <w:tcPr>
            <w:tcW w:w="2164" w:type="dxa"/>
            <w:vMerge w:val="continue"/>
            <w:vAlign w:val="center"/>
          </w:tcPr>
          <w:p>
            <w:pPr>
              <w:jc w:val="center"/>
              <w:rPr>
                <w:rFonts w:ascii="宋体" w:cs="宋体"/>
                <w:sz w:val="24"/>
              </w:rPr>
            </w:pPr>
          </w:p>
        </w:tc>
        <w:tc>
          <w:tcPr>
            <w:tcW w:w="902" w:type="dxa"/>
            <w:vAlign w:val="center"/>
          </w:tcPr>
          <w:p>
            <w:pPr>
              <w:jc w:val="center"/>
              <w:rPr>
                <w:sz w:val="24"/>
              </w:rPr>
            </w:pPr>
            <w:r>
              <w:rPr>
                <w:rFonts w:hint="eastAsia"/>
                <w:sz w:val="24"/>
              </w:rPr>
              <w:t>钢构</w:t>
            </w:r>
          </w:p>
        </w:tc>
        <w:tc>
          <w:tcPr>
            <w:tcW w:w="570" w:type="dxa"/>
            <w:vMerge w:val="continue"/>
            <w:vAlign w:val="center"/>
          </w:tcPr>
          <w:p>
            <w:pPr>
              <w:jc w:val="center"/>
              <w:rPr>
                <w:sz w:val="24"/>
              </w:rPr>
            </w:pPr>
          </w:p>
        </w:tc>
        <w:tc>
          <w:tcPr>
            <w:tcW w:w="1680" w:type="dxa"/>
            <w:vAlign w:val="center"/>
          </w:tcPr>
          <w:p>
            <w:pPr>
              <w:jc w:val="center"/>
              <w:rPr>
                <w:sz w:val="24"/>
              </w:rPr>
            </w:pPr>
            <w:r>
              <w:rPr>
                <w:sz w:val="24"/>
              </w:rPr>
              <w:t>22</w:t>
            </w:r>
          </w:p>
        </w:tc>
        <w:tc>
          <w:tcPr>
            <w:tcW w:w="1378" w:type="dxa"/>
            <w:vMerge w:val="continue"/>
            <w:vAlign w:val="center"/>
          </w:tcPr>
          <w:p>
            <w:pPr>
              <w:snapToGrid w:val="0"/>
              <w:jc w:val="center"/>
              <w:rPr>
                <w:sz w:val="24"/>
              </w:rPr>
            </w:pPr>
          </w:p>
        </w:tc>
        <w:tc>
          <w:tcPr>
            <w:tcW w:w="2387" w:type="dxa"/>
            <w:vMerge w:val="continue"/>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16" w:type="dxa"/>
            <w:vMerge w:val="restart"/>
            <w:vAlign w:val="center"/>
          </w:tcPr>
          <w:p>
            <w:pPr>
              <w:snapToGrid w:val="0"/>
              <w:jc w:val="center"/>
              <w:rPr>
                <w:sz w:val="24"/>
              </w:rPr>
            </w:pPr>
            <w:r>
              <w:rPr>
                <w:sz w:val="24"/>
              </w:rPr>
              <w:t>2</w:t>
            </w:r>
          </w:p>
        </w:tc>
        <w:tc>
          <w:tcPr>
            <w:tcW w:w="2164" w:type="dxa"/>
            <w:vMerge w:val="restart"/>
            <w:vAlign w:val="center"/>
          </w:tcPr>
          <w:p>
            <w:pPr>
              <w:tabs>
                <w:tab w:val="left" w:pos="0"/>
              </w:tabs>
              <w:spacing w:line="360" w:lineRule="auto"/>
              <w:jc w:val="center"/>
              <w:rPr>
                <w:sz w:val="24"/>
              </w:rPr>
            </w:pPr>
            <w:r>
              <w:rPr>
                <w:rFonts w:hint="eastAsia" w:ascii="宋体" w:hAnsi="宋体" w:cs="宋体"/>
                <w:sz w:val="24"/>
              </w:rPr>
              <w:t>单层玻璃固定窗</w:t>
            </w:r>
          </w:p>
        </w:tc>
        <w:tc>
          <w:tcPr>
            <w:tcW w:w="902" w:type="dxa"/>
            <w:vAlign w:val="center"/>
          </w:tcPr>
          <w:p>
            <w:pPr>
              <w:jc w:val="center"/>
              <w:rPr>
                <w:sz w:val="24"/>
              </w:rPr>
            </w:pPr>
            <w:r>
              <w:rPr>
                <w:rFonts w:hint="eastAsia"/>
                <w:sz w:val="24"/>
              </w:rPr>
              <w:t>砖混</w:t>
            </w:r>
          </w:p>
        </w:tc>
        <w:tc>
          <w:tcPr>
            <w:tcW w:w="570" w:type="dxa"/>
            <w:vMerge w:val="restart"/>
            <w:vAlign w:val="center"/>
          </w:tcPr>
          <w:p>
            <w:pPr>
              <w:jc w:val="center"/>
              <w:rPr>
                <w:sz w:val="24"/>
              </w:rPr>
            </w:pPr>
            <w:r>
              <w:rPr>
                <w:sz w:val="24"/>
              </w:rPr>
              <w:t>m</w:t>
            </w:r>
            <w:r>
              <w:rPr>
                <w:rFonts w:hint="eastAsia"/>
                <w:sz w:val="24"/>
              </w:rPr>
              <w:t>²</w:t>
            </w:r>
          </w:p>
        </w:tc>
        <w:tc>
          <w:tcPr>
            <w:tcW w:w="1680" w:type="dxa"/>
            <w:vAlign w:val="center"/>
          </w:tcPr>
          <w:p>
            <w:pPr>
              <w:jc w:val="center"/>
              <w:rPr>
                <w:sz w:val="24"/>
              </w:rPr>
            </w:pPr>
            <w:r>
              <w:rPr>
                <w:sz w:val="24"/>
              </w:rPr>
              <w:t>25</w:t>
            </w:r>
          </w:p>
        </w:tc>
        <w:tc>
          <w:tcPr>
            <w:tcW w:w="1378" w:type="dxa"/>
            <w:vMerge w:val="continue"/>
            <w:vAlign w:val="center"/>
          </w:tcPr>
          <w:p>
            <w:pPr>
              <w:snapToGrid w:val="0"/>
              <w:jc w:val="center"/>
              <w:rPr>
                <w:sz w:val="24"/>
              </w:rPr>
            </w:pPr>
          </w:p>
        </w:tc>
        <w:tc>
          <w:tcPr>
            <w:tcW w:w="2387" w:type="dxa"/>
            <w:vMerge w:val="continue"/>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16" w:type="dxa"/>
            <w:vMerge w:val="continue"/>
            <w:vAlign w:val="center"/>
          </w:tcPr>
          <w:p>
            <w:pPr>
              <w:snapToGrid w:val="0"/>
              <w:jc w:val="center"/>
              <w:rPr>
                <w:sz w:val="24"/>
              </w:rPr>
            </w:pPr>
          </w:p>
        </w:tc>
        <w:tc>
          <w:tcPr>
            <w:tcW w:w="2164" w:type="dxa"/>
            <w:vMerge w:val="continue"/>
            <w:vAlign w:val="center"/>
          </w:tcPr>
          <w:p>
            <w:pPr>
              <w:tabs>
                <w:tab w:val="left" w:pos="0"/>
              </w:tabs>
              <w:spacing w:line="360" w:lineRule="auto"/>
              <w:jc w:val="center"/>
              <w:rPr>
                <w:rFonts w:ascii="宋体" w:cs="宋体"/>
                <w:sz w:val="24"/>
              </w:rPr>
            </w:pPr>
          </w:p>
        </w:tc>
        <w:tc>
          <w:tcPr>
            <w:tcW w:w="902" w:type="dxa"/>
            <w:vAlign w:val="center"/>
          </w:tcPr>
          <w:p>
            <w:pPr>
              <w:jc w:val="center"/>
              <w:rPr>
                <w:sz w:val="24"/>
              </w:rPr>
            </w:pPr>
            <w:r>
              <w:rPr>
                <w:rFonts w:hint="eastAsia"/>
                <w:sz w:val="24"/>
              </w:rPr>
              <w:t>钢构</w:t>
            </w:r>
          </w:p>
        </w:tc>
        <w:tc>
          <w:tcPr>
            <w:tcW w:w="570" w:type="dxa"/>
            <w:vMerge w:val="continue"/>
            <w:vAlign w:val="center"/>
          </w:tcPr>
          <w:p>
            <w:pPr>
              <w:jc w:val="center"/>
              <w:rPr>
                <w:sz w:val="24"/>
              </w:rPr>
            </w:pPr>
          </w:p>
        </w:tc>
        <w:tc>
          <w:tcPr>
            <w:tcW w:w="1680" w:type="dxa"/>
            <w:vAlign w:val="center"/>
          </w:tcPr>
          <w:p>
            <w:pPr>
              <w:jc w:val="center"/>
              <w:rPr>
                <w:sz w:val="24"/>
              </w:rPr>
            </w:pPr>
            <w:r>
              <w:rPr>
                <w:sz w:val="24"/>
              </w:rPr>
              <w:t>24</w:t>
            </w:r>
          </w:p>
        </w:tc>
        <w:tc>
          <w:tcPr>
            <w:tcW w:w="1378" w:type="dxa"/>
            <w:vMerge w:val="continue"/>
            <w:vAlign w:val="center"/>
          </w:tcPr>
          <w:p>
            <w:pPr>
              <w:snapToGrid w:val="0"/>
              <w:jc w:val="center"/>
              <w:rPr>
                <w:sz w:val="24"/>
              </w:rPr>
            </w:pPr>
          </w:p>
        </w:tc>
        <w:tc>
          <w:tcPr>
            <w:tcW w:w="2387" w:type="dxa"/>
            <w:vMerge w:val="continue"/>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6" w:type="dxa"/>
            <w:vMerge w:val="restart"/>
            <w:vAlign w:val="center"/>
          </w:tcPr>
          <w:p>
            <w:pPr>
              <w:snapToGrid w:val="0"/>
              <w:jc w:val="center"/>
              <w:rPr>
                <w:sz w:val="24"/>
              </w:rPr>
            </w:pPr>
            <w:r>
              <w:rPr>
                <w:sz w:val="24"/>
              </w:rPr>
              <w:t>3</w:t>
            </w:r>
          </w:p>
        </w:tc>
        <w:tc>
          <w:tcPr>
            <w:tcW w:w="2164" w:type="dxa"/>
            <w:vMerge w:val="restart"/>
            <w:vAlign w:val="center"/>
          </w:tcPr>
          <w:p>
            <w:pPr>
              <w:jc w:val="center"/>
              <w:rPr>
                <w:sz w:val="24"/>
              </w:rPr>
            </w:pPr>
            <w:r>
              <w:rPr>
                <w:rFonts w:hint="eastAsia" w:ascii="宋体" w:hAnsi="宋体" w:cs="宋体"/>
                <w:sz w:val="24"/>
              </w:rPr>
              <w:t>单层玻璃平开、悬窗</w:t>
            </w:r>
          </w:p>
        </w:tc>
        <w:tc>
          <w:tcPr>
            <w:tcW w:w="902" w:type="dxa"/>
            <w:vAlign w:val="center"/>
          </w:tcPr>
          <w:p>
            <w:pPr>
              <w:jc w:val="center"/>
              <w:rPr>
                <w:sz w:val="24"/>
              </w:rPr>
            </w:pPr>
            <w:r>
              <w:rPr>
                <w:rFonts w:hint="eastAsia"/>
                <w:sz w:val="24"/>
              </w:rPr>
              <w:t>砖混</w:t>
            </w:r>
          </w:p>
        </w:tc>
        <w:tc>
          <w:tcPr>
            <w:tcW w:w="570" w:type="dxa"/>
            <w:vMerge w:val="restart"/>
            <w:vAlign w:val="center"/>
          </w:tcPr>
          <w:p>
            <w:pPr>
              <w:jc w:val="center"/>
              <w:rPr>
                <w:sz w:val="24"/>
              </w:rPr>
            </w:pPr>
            <w:r>
              <w:rPr>
                <w:sz w:val="24"/>
              </w:rPr>
              <w:t>m</w:t>
            </w:r>
            <w:r>
              <w:rPr>
                <w:rFonts w:hint="eastAsia"/>
                <w:sz w:val="24"/>
              </w:rPr>
              <w:t>²</w:t>
            </w:r>
          </w:p>
        </w:tc>
        <w:tc>
          <w:tcPr>
            <w:tcW w:w="1680" w:type="dxa"/>
            <w:vAlign w:val="center"/>
          </w:tcPr>
          <w:p>
            <w:pPr>
              <w:jc w:val="center"/>
              <w:rPr>
                <w:sz w:val="24"/>
              </w:rPr>
            </w:pPr>
            <w:r>
              <w:rPr>
                <w:sz w:val="24"/>
              </w:rPr>
              <w:t>26</w:t>
            </w:r>
          </w:p>
        </w:tc>
        <w:tc>
          <w:tcPr>
            <w:tcW w:w="1378" w:type="dxa"/>
            <w:vMerge w:val="continue"/>
            <w:vAlign w:val="center"/>
          </w:tcPr>
          <w:p>
            <w:pPr>
              <w:jc w:val="center"/>
            </w:pPr>
          </w:p>
        </w:tc>
        <w:tc>
          <w:tcPr>
            <w:tcW w:w="2387" w:type="dxa"/>
            <w:vMerge w:val="continue"/>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16" w:type="dxa"/>
            <w:vMerge w:val="continue"/>
            <w:vAlign w:val="center"/>
          </w:tcPr>
          <w:p>
            <w:pPr>
              <w:snapToGrid w:val="0"/>
              <w:jc w:val="center"/>
              <w:rPr>
                <w:sz w:val="24"/>
              </w:rPr>
            </w:pPr>
          </w:p>
        </w:tc>
        <w:tc>
          <w:tcPr>
            <w:tcW w:w="2164" w:type="dxa"/>
            <w:vMerge w:val="continue"/>
            <w:vAlign w:val="center"/>
          </w:tcPr>
          <w:p>
            <w:pPr>
              <w:jc w:val="center"/>
              <w:rPr>
                <w:rFonts w:ascii="宋体" w:cs="宋体"/>
                <w:sz w:val="24"/>
              </w:rPr>
            </w:pPr>
          </w:p>
        </w:tc>
        <w:tc>
          <w:tcPr>
            <w:tcW w:w="902" w:type="dxa"/>
            <w:vAlign w:val="center"/>
          </w:tcPr>
          <w:p>
            <w:pPr>
              <w:jc w:val="center"/>
              <w:rPr>
                <w:sz w:val="24"/>
              </w:rPr>
            </w:pPr>
            <w:r>
              <w:rPr>
                <w:rFonts w:hint="eastAsia"/>
                <w:sz w:val="24"/>
              </w:rPr>
              <w:t>钢构</w:t>
            </w:r>
          </w:p>
        </w:tc>
        <w:tc>
          <w:tcPr>
            <w:tcW w:w="570" w:type="dxa"/>
            <w:vMerge w:val="continue"/>
            <w:vAlign w:val="center"/>
          </w:tcPr>
          <w:p>
            <w:pPr>
              <w:jc w:val="center"/>
              <w:rPr>
                <w:sz w:val="24"/>
              </w:rPr>
            </w:pPr>
          </w:p>
        </w:tc>
        <w:tc>
          <w:tcPr>
            <w:tcW w:w="1680" w:type="dxa"/>
            <w:vAlign w:val="center"/>
          </w:tcPr>
          <w:p>
            <w:pPr>
              <w:jc w:val="center"/>
              <w:rPr>
                <w:sz w:val="24"/>
              </w:rPr>
            </w:pPr>
            <w:r>
              <w:rPr>
                <w:sz w:val="24"/>
              </w:rPr>
              <w:t>25</w:t>
            </w:r>
          </w:p>
        </w:tc>
        <w:tc>
          <w:tcPr>
            <w:tcW w:w="1378" w:type="dxa"/>
            <w:vMerge w:val="continue"/>
            <w:vAlign w:val="center"/>
          </w:tcPr>
          <w:p>
            <w:pPr>
              <w:jc w:val="center"/>
            </w:pPr>
          </w:p>
        </w:tc>
        <w:tc>
          <w:tcPr>
            <w:tcW w:w="2387" w:type="dxa"/>
            <w:vMerge w:val="continue"/>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16" w:type="dxa"/>
            <w:vMerge w:val="restart"/>
            <w:vAlign w:val="center"/>
          </w:tcPr>
          <w:p>
            <w:pPr>
              <w:snapToGrid w:val="0"/>
              <w:jc w:val="center"/>
              <w:rPr>
                <w:sz w:val="24"/>
              </w:rPr>
            </w:pPr>
            <w:r>
              <w:rPr>
                <w:sz w:val="24"/>
              </w:rPr>
              <w:t>4</w:t>
            </w:r>
          </w:p>
        </w:tc>
        <w:tc>
          <w:tcPr>
            <w:tcW w:w="2164" w:type="dxa"/>
            <w:vMerge w:val="restart"/>
            <w:vAlign w:val="center"/>
          </w:tcPr>
          <w:p>
            <w:pPr>
              <w:jc w:val="center"/>
              <w:rPr>
                <w:sz w:val="24"/>
              </w:rPr>
            </w:pPr>
            <w:r>
              <w:rPr>
                <w:rFonts w:hint="eastAsia"/>
                <w:sz w:val="24"/>
              </w:rPr>
              <w:t>单层玻璃平开门</w:t>
            </w:r>
          </w:p>
        </w:tc>
        <w:tc>
          <w:tcPr>
            <w:tcW w:w="902" w:type="dxa"/>
            <w:vAlign w:val="center"/>
          </w:tcPr>
          <w:p>
            <w:pPr>
              <w:jc w:val="center"/>
              <w:rPr>
                <w:sz w:val="24"/>
              </w:rPr>
            </w:pPr>
            <w:r>
              <w:rPr>
                <w:rFonts w:hint="eastAsia"/>
                <w:sz w:val="24"/>
              </w:rPr>
              <w:t>砖混</w:t>
            </w:r>
          </w:p>
        </w:tc>
        <w:tc>
          <w:tcPr>
            <w:tcW w:w="570" w:type="dxa"/>
            <w:vMerge w:val="restart"/>
            <w:vAlign w:val="center"/>
          </w:tcPr>
          <w:p>
            <w:pPr>
              <w:jc w:val="center"/>
              <w:rPr>
                <w:sz w:val="24"/>
              </w:rPr>
            </w:pPr>
            <w:r>
              <w:rPr>
                <w:sz w:val="24"/>
              </w:rPr>
              <w:t>m</w:t>
            </w:r>
            <w:r>
              <w:rPr>
                <w:rFonts w:hint="eastAsia"/>
                <w:sz w:val="24"/>
              </w:rPr>
              <w:t>²</w:t>
            </w:r>
          </w:p>
        </w:tc>
        <w:tc>
          <w:tcPr>
            <w:tcW w:w="1680" w:type="dxa"/>
            <w:vAlign w:val="center"/>
          </w:tcPr>
          <w:p>
            <w:pPr>
              <w:jc w:val="center"/>
              <w:rPr>
                <w:sz w:val="24"/>
              </w:rPr>
            </w:pPr>
            <w:r>
              <w:rPr>
                <w:sz w:val="24"/>
              </w:rPr>
              <w:t>28</w:t>
            </w:r>
          </w:p>
        </w:tc>
        <w:tc>
          <w:tcPr>
            <w:tcW w:w="1378" w:type="dxa"/>
            <w:vMerge w:val="continue"/>
            <w:vAlign w:val="center"/>
          </w:tcPr>
          <w:p>
            <w:pPr>
              <w:snapToGrid w:val="0"/>
              <w:jc w:val="center"/>
              <w:rPr>
                <w:sz w:val="24"/>
              </w:rPr>
            </w:pPr>
          </w:p>
        </w:tc>
        <w:tc>
          <w:tcPr>
            <w:tcW w:w="2387" w:type="dxa"/>
            <w:vMerge w:val="continue"/>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16" w:type="dxa"/>
            <w:vMerge w:val="continue"/>
            <w:vAlign w:val="center"/>
          </w:tcPr>
          <w:p>
            <w:pPr>
              <w:snapToGrid w:val="0"/>
              <w:jc w:val="center"/>
              <w:rPr>
                <w:sz w:val="24"/>
              </w:rPr>
            </w:pPr>
          </w:p>
        </w:tc>
        <w:tc>
          <w:tcPr>
            <w:tcW w:w="2164" w:type="dxa"/>
            <w:vMerge w:val="continue"/>
            <w:vAlign w:val="center"/>
          </w:tcPr>
          <w:p>
            <w:pPr>
              <w:jc w:val="center"/>
              <w:rPr>
                <w:sz w:val="24"/>
              </w:rPr>
            </w:pPr>
          </w:p>
        </w:tc>
        <w:tc>
          <w:tcPr>
            <w:tcW w:w="902" w:type="dxa"/>
            <w:vAlign w:val="center"/>
          </w:tcPr>
          <w:p>
            <w:pPr>
              <w:jc w:val="center"/>
              <w:rPr>
                <w:sz w:val="24"/>
              </w:rPr>
            </w:pPr>
            <w:r>
              <w:rPr>
                <w:rFonts w:hint="eastAsia"/>
                <w:sz w:val="24"/>
              </w:rPr>
              <w:t>钢构</w:t>
            </w:r>
          </w:p>
        </w:tc>
        <w:tc>
          <w:tcPr>
            <w:tcW w:w="570" w:type="dxa"/>
            <w:vMerge w:val="continue"/>
            <w:vAlign w:val="center"/>
          </w:tcPr>
          <w:p>
            <w:pPr>
              <w:jc w:val="center"/>
              <w:rPr>
                <w:sz w:val="24"/>
              </w:rPr>
            </w:pPr>
          </w:p>
        </w:tc>
        <w:tc>
          <w:tcPr>
            <w:tcW w:w="1680" w:type="dxa"/>
            <w:vAlign w:val="center"/>
          </w:tcPr>
          <w:p>
            <w:pPr>
              <w:jc w:val="center"/>
              <w:rPr>
                <w:sz w:val="24"/>
              </w:rPr>
            </w:pPr>
            <w:r>
              <w:rPr>
                <w:sz w:val="24"/>
              </w:rPr>
              <w:t>26</w:t>
            </w:r>
          </w:p>
        </w:tc>
        <w:tc>
          <w:tcPr>
            <w:tcW w:w="1378" w:type="dxa"/>
            <w:vMerge w:val="continue"/>
            <w:vAlign w:val="center"/>
          </w:tcPr>
          <w:p>
            <w:pPr>
              <w:snapToGrid w:val="0"/>
              <w:jc w:val="center"/>
              <w:rPr>
                <w:sz w:val="24"/>
              </w:rPr>
            </w:pPr>
          </w:p>
        </w:tc>
        <w:tc>
          <w:tcPr>
            <w:tcW w:w="2387" w:type="dxa"/>
            <w:vMerge w:val="continue"/>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6" w:type="dxa"/>
            <w:vMerge w:val="restart"/>
            <w:vAlign w:val="center"/>
          </w:tcPr>
          <w:p>
            <w:pPr>
              <w:snapToGrid w:val="0"/>
              <w:jc w:val="center"/>
              <w:rPr>
                <w:sz w:val="24"/>
              </w:rPr>
            </w:pPr>
            <w:r>
              <w:rPr>
                <w:sz w:val="24"/>
              </w:rPr>
              <w:t>5</w:t>
            </w:r>
          </w:p>
        </w:tc>
        <w:tc>
          <w:tcPr>
            <w:tcW w:w="2164" w:type="dxa"/>
            <w:vMerge w:val="restart"/>
            <w:vAlign w:val="center"/>
          </w:tcPr>
          <w:p>
            <w:pPr>
              <w:jc w:val="center"/>
              <w:rPr>
                <w:sz w:val="24"/>
              </w:rPr>
            </w:pPr>
            <w:r>
              <w:rPr>
                <w:rFonts w:hint="eastAsia"/>
                <w:sz w:val="24"/>
              </w:rPr>
              <w:t>单层玻璃推拉门</w:t>
            </w:r>
          </w:p>
        </w:tc>
        <w:tc>
          <w:tcPr>
            <w:tcW w:w="902" w:type="dxa"/>
            <w:vAlign w:val="center"/>
          </w:tcPr>
          <w:p>
            <w:pPr>
              <w:jc w:val="center"/>
              <w:rPr>
                <w:sz w:val="24"/>
              </w:rPr>
            </w:pPr>
            <w:r>
              <w:rPr>
                <w:rFonts w:hint="eastAsia"/>
                <w:sz w:val="24"/>
              </w:rPr>
              <w:t>砖混</w:t>
            </w:r>
          </w:p>
        </w:tc>
        <w:tc>
          <w:tcPr>
            <w:tcW w:w="570" w:type="dxa"/>
            <w:vMerge w:val="restart"/>
            <w:vAlign w:val="center"/>
          </w:tcPr>
          <w:p>
            <w:pPr>
              <w:jc w:val="center"/>
              <w:rPr>
                <w:sz w:val="24"/>
              </w:rPr>
            </w:pPr>
            <w:r>
              <w:rPr>
                <w:sz w:val="24"/>
              </w:rPr>
              <w:t>m</w:t>
            </w:r>
            <w:r>
              <w:rPr>
                <w:rFonts w:hint="eastAsia"/>
                <w:sz w:val="24"/>
              </w:rPr>
              <w:t>²</w:t>
            </w:r>
          </w:p>
        </w:tc>
        <w:tc>
          <w:tcPr>
            <w:tcW w:w="1680" w:type="dxa"/>
            <w:vAlign w:val="center"/>
          </w:tcPr>
          <w:p>
            <w:pPr>
              <w:jc w:val="center"/>
              <w:rPr>
                <w:sz w:val="24"/>
              </w:rPr>
            </w:pPr>
            <w:r>
              <w:rPr>
                <w:sz w:val="24"/>
              </w:rPr>
              <w:t>30</w:t>
            </w:r>
          </w:p>
        </w:tc>
        <w:tc>
          <w:tcPr>
            <w:tcW w:w="1378" w:type="dxa"/>
            <w:vMerge w:val="continue"/>
            <w:vAlign w:val="center"/>
          </w:tcPr>
          <w:p>
            <w:pPr>
              <w:jc w:val="center"/>
            </w:pPr>
          </w:p>
        </w:tc>
        <w:tc>
          <w:tcPr>
            <w:tcW w:w="2387" w:type="dxa"/>
            <w:vMerge w:val="continue"/>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16" w:type="dxa"/>
            <w:vMerge w:val="continue"/>
            <w:vAlign w:val="center"/>
          </w:tcPr>
          <w:p>
            <w:pPr>
              <w:snapToGrid w:val="0"/>
              <w:jc w:val="center"/>
              <w:rPr>
                <w:sz w:val="24"/>
              </w:rPr>
            </w:pPr>
          </w:p>
        </w:tc>
        <w:tc>
          <w:tcPr>
            <w:tcW w:w="2164" w:type="dxa"/>
            <w:vMerge w:val="continue"/>
            <w:vAlign w:val="center"/>
          </w:tcPr>
          <w:p>
            <w:pPr>
              <w:jc w:val="center"/>
              <w:rPr>
                <w:sz w:val="24"/>
              </w:rPr>
            </w:pPr>
          </w:p>
        </w:tc>
        <w:tc>
          <w:tcPr>
            <w:tcW w:w="902" w:type="dxa"/>
            <w:vAlign w:val="center"/>
          </w:tcPr>
          <w:p>
            <w:pPr>
              <w:jc w:val="center"/>
              <w:rPr>
                <w:sz w:val="24"/>
              </w:rPr>
            </w:pPr>
            <w:r>
              <w:rPr>
                <w:rFonts w:hint="eastAsia"/>
                <w:sz w:val="24"/>
              </w:rPr>
              <w:t>钢构</w:t>
            </w:r>
          </w:p>
        </w:tc>
        <w:tc>
          <w:tcPr>
            <w:tcW w:w="570" w:type="dxa"/>
            <w:vMerge w:val="continue"/>
            <w:vAlign w:val="center"/>
          </w:tcPr>
          <w:p>
            <w:pPr>
              <w:jc w:val="center"/>
              <w:rPr>
                <w:sz w:val="24"/>
              </w:rPr>
            </w:pPr>
          </w:p>
        </w:tc>
        <w:tc>
          <w:tcPr>
            <w:tcW w:w="1680" w:type="dxa"/>
            <w:vAlign w:val="center"/>
          </w:tcPr>
          <w:p>
            <w:pPr>
              <w:jc w:val="center"/>
              <w:rPr>
                <w:sz w:val="24"/>
              </w:rPr>
            </w:pPr>
            <w:r>
              <w:rPr>
                <w:sz w:val="24"/>
              </w:rPr>
              <w:t>28</w:t>
            </w:r>
          </w:p>
        </w:tc>
        <w:tc>
          <w:tcPr>
            <w:tcW w:w="1378" w:type="dxa"/>
            <w:vMerge w:val="continue"/>
            <w:vAlign w:val="center"/>
          </w:tcPr>
          <w:p>
            <w:pPr>
              <w:jc w:val="center"/>
            </w:pPr>
          </w:p>
        </w:tc>
        <w:tc>
          <w:tcPr>
            <w:tcW w:w="2387" w:type="dxa"/>
            <w:vMerge w:val="continue"/>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16" w:type="dxa"/>
            <w:vAlign w:val="center"/>
          </w:tcPr>
          <w:p>
            <w:pPr>
              <w:snapToGrid w:val="0"/>
              <w:jc w:val="center"/>
              <w:rPr>
                <w:sz w:val="24"/>
              </w:rPr>
            </w:pPr>
            <w:r>
              <w:rPr>
                <w:rFonts w:hint="eastAsia"/>
                <w:sz w:val="24"/>
              </w:rPr>
              <w:t>6</w:t>
            </w:r>
          </w:p>
        </w:tc>
        <w:tc>
          <w:tcPr>
            <w:tcW w:w="6694" w:type="dxa"/>
            <w:gridSpan w:val="5"/>
            <w:vAlign w:val="center"/>
          </w:tcPr>
          <w:p>
            <w:pPr>
              <w:jc w:val="center"/>
              <w:rPr>
                <w:rFonts w:hint="default"/>
                <w:lang w:val="en-US"/>
              </w:rPr>
            </w:pPr>
            <w:r>
              <w:rPr>
                <w:rFonts w:hint="eastAsia"/>
                <w:sz w:val="24"/>
                <w:lang w:eastAsia="zh-CN"/>
              </w:rPr>
              <w:t>离铜项目安装单价，在上述单价基础上，每平米增加</w:t>
            </w:r>
            <w:r>
              <w:rPr>
                <w:rFonts w:hint="eastAsia"/>
                <w:sz w:val="24"/>
                <w:lang w:val="en-US" w:eastAsia="zh-CN"/>
              </w:rPr>
              <w:t xml:space="preserve"> </w:t>
            </w:r>
            <w:r>
              <w:rPr>
                <w:rFonts w:hint="eastAsia"/>
                <w:sz w:val="24"/>
                <w:u w:val="single"/>
                <w:lang w:val="en-US" w:eastAsia="zh-CN"/>
              </w:rPr>
              <w:t xml:space="preserve">     </w:t>
            </w:r>
            <w:r>
              <w:rPr>
                <w:rFonts w:hint="eastAsia"/>
                <w:sz w:val="24"/>
                <w:lang w:val="en-US" w:eastAsia="zh-CN"/>
              </w:rPr>
              <w:t>元</w:t>
            </w:r>
          </w:p>
        </w:tc>
        <w:tc>
          <w:tcPr>
            <w:tcW w:w="2387" w:type="dxa"/>
            <w:vAlign w:val="center"/>
          </w:tcPr>
          <w:p>
            <w:pPr>
              <w:rPr>
                <w:rFonts w:hint="eastAsia" w:ascii="宋体" w:eastAsia="宋体" w:cs="宋体"/>
                <w:sz w:val="24"/>
                <w:lang w:eastAsia="zh-CN"/>
              </w:rPr>
            </w:pPr>
            <w:r>
              <w:rPr>
                <w:rFonts w:hint="eastAsia" w:ascii="宋体" w:cs="宋体"/>
                <w:sz w:val="24"/>
                <w:lang w:eastAsia="zh-CN"/>
              </w:rPr>
              <w:t>离铜项目主要为庐江、无为、黄山、铜山矿等地区项目</w:t>
            </w:r>
          </w:p>
        </w:tc>
      </w:tr>
    </w:tbl>
    <w:p>
      <w:pPr>
        <w:spacing w:line="4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说明:以上单价含税，必须提供3%增值税专业发票。报价所指下浮率为所列限价综合考虑同一下浮系数，有超出范围的双方可另行协商解决。</w:t>
      </w:r>
    </w:p>
    <w:p>
      <w:pPr>
        <w:spacing w:line="360" w:lineRule="auto"/>
        <w:rPr>
          <w:rFonts w:ascii="黑体" w:hAnsi="黑体" w:eastAsia="黑体" w:cs="黑体"/>
          <w:sz w:val="28"/>
          <w:szCs w:val="28"/>
        </w:rPr>
      </w:pPr>
    </w:p>
    <w:p>
      <w:pPr>
        <w:spacing w:line="440" w:lineRule="exact"/>
        <w:ind w:firstLine="5400" w:firstLineChars="2250"/>
        <w:rPr>
          <w:rFonts w:ascii="宋体" w:hAnsi="宋体" w:cs="Arial"/>
          <w:sz w:val="24"/>
        </w:rPr>
      </w:pPr>
    </w:p>
    <w:p>
      <w:pPr>
        <w:spacing w:line="440" w:lineRule="exact"/>
        <w:ind w:firstLine="5400" w:firstLineChars="2250"/>
        <w:rPr>
          <w:rFonts w:ascii="宋体" w:hAnsi="宋体" w:cs="Arial"/>
          <w:sz w:val="24"/>
        </w:rPr>
      </w:pPr>
    </w:p>
    <w:p>
      <w:pPr>
        <w:spacing w:line="440" w:lineRule="exact"/>
        <w:ind w:firstLine="5400" w:firstLineChars="2250"/>
        <w:rPr>
          <w:rFonts w:ascii="宋体" w:hAnsi="宋体" w:cs="Arial"/>
          <w:sz w:val="24"/>
        </w:rPr>
      </w:pPr>
    </w:p>
    <w:p>
      <w:pPr>
        <w:spacing w:line="440" w:lineRule="exact"/>
        <w:ind w:firstLine="5400" w:firstLineChars="2250"/>
        <w:rPr>
          <w:rFonts w:ascii="宋体" w:hAnsi="宋体" w:cs="Arial"/>
          <w:sz w:val="24"/>
        </w:rPr>
      </w:pPr>
    </w:p>
    <w:p>
      <w:pPr>
        <w:spacing w:line="440" w:lineRule="exact"/>
        <w:rPr>
          <w:rFonts w:ascii="宋体" w:hAnsi="宋体" w:cs="Arial"/>
          <w:sz w:val="24"/>
        </w:rPr>
      </w:pPr>
    </w:p>
    <w:p>
      <w:pPr>
        <w:spacing w:line="440" w:lineRule="exact"/>
        <w:ind w:firstLine="5400" w:firstLineChars="2250"/>
        <w:rPr>
          <w:rFonts w:ascii="宋体" w:hAnsi="宋体" w:cs="Arial"/>
          <w:sz w:val="24"/>
        </w:rPr>
      </w:pPr>
    </w:p>
    <w:p>
      <w:pPr>
        <w:spacing w:line="440" w:lineRule="exact"/>
        <w:ind w:firstLine="5400" w:firstLineChars="2250"/>
        <w:rPr>
          <w:rFonts w:ascii="宋体" w:hAnsi="宋体" w:cs="Arial"/>
          <w:sz w:val="24"/>
        </w:rPr>
      </w:pPr>
      <w:r>
        <w:rPr>
          <w:rFonts w:hint="eastAsia" w:ascii="宋体" w:hAnsi="宋体" w:cs="Arial"/>
          <w:sz w:val="24"/>
        </w:rPr>
        <w:t>投标单位</w:t>
      </w:r>
      <w:r>
        <w:rPr>
          <w:rFonts w:ascii="宋体" w:hAnsi="宋体" w:cs="Arial"/>
          <w:sz w:val="24"/>
        </w:rPr>
        <w:t>：</w:t>
      </w:r>
      <w:r>
        <w:rPr>
          <w:rFonts w:hint="eastAsia" w:ascii="宋体" w:hAnsi="宋体" w:cs="Arial"/>
          <w:sz w:val="24"/>
        </w:rPr>
        <w:t>（公章）</w:t>
      </w:r>
    </w:p>
    <w:p>
      <w:pPr>
        <w:spacing w:line="440" w:lineRule="exact"/>
        <w:ind w:firstLine="5400" w:firstLineChars="2250"/>
        <w:rPr>
          <w:rFonts w:ascii="宋体" w:hAnsi="宋体" w:cs="Arial"/>
          <w:sz w:val="24"/>
        </w:rPr>
      </w:pPr>
      <w:r>
        <w:rPr>
          <w:rFonts w:hint="eastAsia" w:ascii="宋体" w:hAnsi="宋体" w:cs="Arial"/>
          <w:sz w:val="24"/>
          <w:lang w:eastAsia="zh-CN"/>
        </w:rPr>
        <w:t>投标</w:t>
      </w:r>
      <w:r>
        <w:rPr>
          <w:rFonts w:hint="eastAsia" w:ascii="宋体" w:hAnsi="宋体" w:cs="Arial"/>
          <w:sz w:val="24"/>
        </w:rPr>
        <w:t>人</w:t>
      </w:r>
      <w:r>
        <w:rPr>
          <w:rFonts w:ascii="宋体" w:hAnsi="宋体" w:cs="Arial"/>
          <w:sz w:val="24"/>
        </w:rPr>
        <w:t>：</w:t>
      </w:r>
      <w:r>
        <w:rPr>
          <w:rFonts w:hint="eastAsia" w:ascii="宋体" w:hAnsi="宋体" w:cs="Arial"/>
          <w:sz w:val="24"/>
        </w:rPr>
        <w:t>（签字）</w:t>
      </w:r>
    </w:p>
    <w:p>
      <w:pPr>
        <w:spacing w:line="360" w:lineRule="auto"/>
        <w:rPr>
          <w:rFonts w:hint="eastAsia" w:ascii="黑体" w:hAnsi="黑体" w:eastAsia="宋体" w:cs="黑体"/>
          <w:sz w:val="28"/>
          <w:szCs w:val="28"/>
          <w:lang w:val="en-US" w:eastAsia="zh-CN"/>
        </w:rPr>
      </w:pP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r>
        <w:rPr>
          <w:rFonts w:hint="eastAsia" w:ascii="宋体" w:hAnsi="宋体" w:cs="Arial"/>
          <w:sz w:val="24"/>
          <w:lang w:val="en-US" w:eastAsia="zh-CN"/>
        </w:rPr>
        <w:t xml:space="preserve">    </w:t>
      </w:r>
      <w:bookmarkStart w:id="0" w:name="_GoBack"/>
      <w:bookmarkEnd w:id="0"/>
      <w:r>
        <w:rPr>
          <w:rFonts w:ascii="宋体" w:hAnsi="宋体" w:cs="Arial"/>
          <w:sz w:val="24"/>
        </w:rPr>
        <w:t xml:space="preserve">日  期：   年    月    </w:t>
      </w:r>
      <w:r>
        <w:rPr>
          <w:rFonts w:hint="eastAsia" w:ascii="宋体" w:hAnsi="宋体" w:cs="Arial"/>
          <w:sz w:val="24"/>
          <w:lang w:eastAsia="zh-CN"/>
        </w:rPr>
        <w:t>日</w:t>
      </w:r>
    </w:p>
    <w:p/>
    <w:p/>
    <w:p>
      <w:pPr>
        <w:spacing w:line="360" w:lineRule="auto"/>
        <w:rPr>
          <w:rFonts w:ascii="宋体" w:hAnsi="宋体" w:cs="宋体"/>
          <w:sz w:val="28"/>
          <w:szCs w:val="28"/>
        </w:rPr>
      </w:pPr>
      <w:r>
        <w:rPr>
          <w:rFonts w:hint="eastAsia" w:ascii="宋体" w:hAnsi="宋体" w:cs="宋体"/>
          <w:sz w:val="28"/>
          <w:szCs w:val="28"/>
        </w:rPr>
        <w:t>附件四</w:t>
      </w:r>
    </w:p>
    <w:p>
      <w:pPr>
        <w:tabs>
          <w:tab w:val="center" w:pos="4214"/>
          <w:tab w:val="right" w:pos="8306"/>
        </w:tabs>
        <w:snapToGrid w:val="0"/>
        <w:spacing w:line="360" w:lineRule="auto"/>
        <w:jc w:val="center"/>
        <w:rPr>
          <w:b/>
          <w:bCs/>
          <w:sz w:val="30"/>
          <w:szCs w:val="30"/>
        </w:rPr>
      </w:pPr>
      <w:r>
        <w:rPr>
          <w:rFonts w:hint="eastAsia"/>
          <w:b/>
          <w:bCs/>
          <w:sz w:val="30"/>
          <w:szCs w:val="30"/>
        </w:rPr>
        <w:t>铜陵有色建安钢构有限责公司内部签证管理办法</w:t>
      </w:r>
    </w:p>
    <w:p>
      <w:pPr>
        <w:snapToGrid w:val="0"/>
        <w:spacing w:line="360" w:lineRule="auto"/>
        <w:ind w:firstLine="480" w:firstLineChars="200"/>
        <w:rPr>
          <w:sz w:val="24"/>
        </w:rPr>
      </w:pPr>
      <w:r>
        <w:rPr>
          <w:rFonts w:hint="eastAsia"/>
          <w:sz w:val="24"/>
        </w:rPr>
        <w:t>为了加强公司内部分包队伍实施过程中的现场签证管理，规范公司管理程序，根据《铜陵有色金属集团控股有限公司固定资产投资项目现场签证管理暂行办法》，结合公司现场管理实际，特制定本办法，各级管理人员审批内部签证的权限规定如下：</w:t>
      </w:r>
    </w:p>
    <w:p>
      <w:pPr>
        <w:numPr>
          <w:ilvl w:val="0"/>
          <w:numId w:val="3"/>
        </w:numPr>
        <w:snapToGrid w:val="0"/>
        <w:spacing w:line="360" w:lineRule="auto"/>
        <w:ind w:firstLine="480" w:firstLineChars="200"/>
        <w:rPr>
          <w:sz w:val="24"/>
        </w:rPr>
      </w:pPr>
      <w:r>
        <w:rPr>
          <w:rFonts w:hint="eastAsia"/>
          <w:sz w:val="24"/>
        </w:rPr>
        <w:t>单项签证金额在</w:t>
      </w:r>
      <w:r>
        <w:rPr>
          <w:rFonts w:hint="eastAsia"/>
          <w:b/>
          <w:bCs/>
          <w:sz w:val="24"/>
        </w:rPr>
        <w:t>1000元（含）</w:t>
      </w:r>
      <w:r>
        <w:rPr>
          <w:rFonts w:hint="eastAsia"/>
          <w:sz w:val="24"/>
        </w:rPr>
        <w:t>以内的，由项目部技术员核量核价，项目经理审批确认；</w:t>
      </w:r>
    </w:p>
    <w:p>
      <w:pPr>
        <w:numPr>
          <w:ilvl w:val="0"/>
          <w:numId w:val="3"/>
        </w:numPr>
        <w:snapToGrid w:val="0"/>
        <w:spacing w:line="360" w:lineRule="auto"/>
        <w:ind w:firstLine="480" w:firstLineChars="200"/>
        <w:rPr>
          <w:sz w:val="24"/>
        </w:rPr>
      </w:pPr>
      <w:r>
        <w:rPr>
          <w:rFonts w:hint="eastAsia"/>
          <w:sz w:val="24"/>
        </w:rPr>
        <w:t>单项签证金额在</w:t>
      </w:r>
      <w:r>
        <w:rPr>
          <w:rFonts w:hint="eastAsia"/>
          <w:b/>
          <w:bCs/>
          <w:sz w:val="24"/>
        </w:rPr>
        <w:t>1000元~5000元（含）</w:t>
      </w:r>
      <w:r>
        <w:rPr>
          <w:rFonts w:hint="eastAsia"/>
          <w:sz w:val="24"/>
        </w:rPr>
        <w:t>以内的，报工程部、技术质计部部门负责人审核后，由公司分管领导审批确认；</w:t>
      </w:r>
    </w:p>
    <w:p>
      <w:pPr>
        <w:numPr>
          <w:ilvl w:val="0"/>
          <w:numId w:val="3"/>
        </w:numPr>
        <w:snapToGrid w:val="0"/>
        <w:spacing w:line="360" w:lineRule="auto"/>
        <w:ind w:firstLine="480" w:firstLineChars="200"/>
        <w:rPr>
          <w:sz w:val="24"/>
        </w:rPr>
      </w:pPr>
      <w:r>
        <w:rPr>
          <w:rFonts w:hint="eastAsia"/>
          <w:sz w:val="24"/>
        </w:rPr>
        <w:t>单项签证金额在</w:t>
      </w:r>
      <w:r>
        <w:rPr>
          <w:rFonts w:hint="eastAsia"/>
          <w:b/>
          <w:bCs/>
          <w:sz w:val="24"/>
        </w:rPr>
        <w:t>5000元~10000元（含）</w:t>
      </w:r>
      <w:r>
        <w:rPr>
          <w:rFonts w:hint="eastAsia"/>
          <w:sz w:val="24"/>
        </w:rPr>
        <w:t>以内的，由公司总经理审批确认；</w:t>
      </w:r>
    </w:p>
    <w:p>
      <w:pPr>
        <w:numPr>
          <w:ilvl w:val="0"/>
          <w:numId w:val="3"/>
        </w:numPr>
        <w:snapToGrid w:val="0"/>
        <w:spacing w:line="360" w:lineRule="auto"/>
        <w:ind w:firstLine="480" w:firstLineChars="200"/>
        <w:rPr>
          <w:sz w:val="24"/>
        </w:rPr>
      </w:pPr>
      <w:r>
        <w:rPr>
          <w:rFonts w:hint="eastAsia"/>
          <w:sz w:val="24"/>
        </w:rPr>
        <w:t>单项签证金额在</w:t>
      </w:r>
      <w:r>
        <w:rPr>
          <w:rFonts w:hint="eastAsia"/>
          <w:b/>
          <w:bCs/>
          <w:sz w:val="24"/>
        </w:rPr>
        <w:t>10000元</w:t>
      </w:r>
      <w:r>
        <w:rPr>
          <w:rFonts w:hint="eastAsia"/>
          <w:sz w:val="24"/>
        </w:rPr>
        <w:t>以上的，由项目经理书面报告公司，经公司党政联席会讨论通过。</w:t>
      </w:r>
    </w:p>
    <w:p>
      <w:pPr>
        <w:snapToGrid w:val="0"/>
        <w:spacing w:line="360" w:lineRule="auto"/>
        <w:ind w:firstLine="560"/>
        <w:rPr>
          <w:sz w:val="24"/>
        </w:rPr>
      </w:pPr>
      <w:r>
        <w:rPr>
          <w:rFonts w:hint="eastAsia"/>
          <w:sz w:val="24"/>
        </w:rPr>
        <w:t>分包单位应在收到指令后（含口头指令）的3个工作日内提交现场签证报告（特殊情况下，遇紧急抢修指令，应在指令完成后的3个工作日内提交），应详细描述签证理由、签证内容，分包单位负责人应在签证报告中签字。</w:t>
      </w:r>
    </w:p>
    <w:p>
      <w:pPr>
        <w:widowControl/>
        <w:snapToGrid w:val="0"/>
        <w:spacing w:line="360" w:lineRule="auto"/>
        <w:ind w:firstLine="480" w:firstLineChars="200"/>
        <w:jc w:val="left"/>
        <w:rPr>
          <w:sz w:val="24"/>
        </w:rPr>
      </w:pPr>
      <w:r>
        <w:rPr>
          <w:rFonts w:hint="eastAsia"/>
          <w:sz w:val="24"/>
        </w:rPr>
        <w:t>项目经理对签证资料的完整性、真实性负责；技术质计部必须按照分包合同、施工图纸及其他相关规定对签证及时审核，严格核量核价，签署明确意见，公司应在收到签证报告的3个工作日内审核完成。</w:t>
      </w:r>
    </w:p>
    <w:p>
      <w:pPr>
        <w:snapToGrid w:val="0"/>
        <w:spacing w:line="360" w:lineRule="auto"/>
        <w:ind w:firstLine="560"/>
        <w:rPr>
          <w:sz w:val="24"/>
        </w:rPr>
      </w:pPr>
      <w:r>
        <w:rPr>
          <w:rFonts w:hint="eastAsia"/>
          <w:sz w:val="24"/>
        </w:rPr>
        <w:t>项目审批人员不得越权审批，不得将现场签证中同一签证事项肢解规避审批，也不得违反法律法规及施工合同办理现场签证。</w:t>
      </w:r>
    </w:p>
    <w:p>
      <w:pPr>
        <w:snapToGrid w:val="0"/>
        <w:spacing w:line="360" w:lineRule="auto"/>
        <w:ind w:firstLine="560"/>
        <w:rPr>
          <w:sz w:val="24"/>
        </w:rPr>
      </w:pPr>
      <w:r>
        <w:rPr>
          <w:rFonts w:hint="eastAsia"/>
          <w:sz w:val="24"/>
        </w:rPr>
        <w:t>严格落实“谁签字、谁负责”的签证责任追究制度，若发生同一签证肢解规避审批、越权审批的，由责任人承担该项签证费用。签字手续不全、违反法律法规及合同的现场签证均按无效签证处理。</w:t>
      </w:r>
    </w:p>
    <w:p>
      <w:pPr>
        <w:snapToGrid w:val="0"/>
        <w:spacing w:line="360" w:lineRule="auto"/>
        <w:ind w:firstLine="560"/>
        <w:rPr>
          <w:sz w:val="24"/>
        </w:rPr>
      </w:pPr>
      <w:r>
        <w:rPr>
          <w:rFonts w:hint="eastAsia"/>
          <w:sz w:val="24"/>
        </w:rPr>
        <w:t>公司在与分包单位签订分包合同时，应将本办法作为合同附件之一，并遵照执行。</w:t>
      </w:r>
    </w:p>
    <w:p>
      <w:pPr>
        <w:ind w:firstLine="280" w:firstLineChars="100"/>
        <w:jc w:val="left"/>
        <w:rPr>
          <w:sz w:val="28"/>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AD2017"/>
    <w:multiLevelType w:val="singleLevel"/>
    <w:tmpl w:val="8EAD2017"/>
    <w:lvl w:ilvl="0" w:tentative="0">
      <w:start w:val="2"/>
      <w:numFmt w:val="chineseCounting"/>
      <w:suff w:val="nothing"/>
      <w:lvlText w:val="%1、"/>
      <w:lvlJc w:val="left"/>
      <w:rPr>
        <w:rFonts w:hint="eastAsia"/>
      </w:rPr>
    </w:lvl>
  </w:abstractNum>
  <w:abstractNum w:abstractNumId="1">
    <w:nsid w:val="AB937FD1"/>
    <w:multiLevelType w:val="singleLevel"/>
    <w:tmpl w:val="AB937FD1"/>
    <w:lvl w:ilvl="0" w:tentative="0">
      <w:start w:val="1"/>
      <w:numFmt w:val="chineseCounting"/>
      <w:suff w:val="nothing"/>
      <w:lvlText w:val="%1、"/>
      <w:lvlJc w:val="left"/>
      <w:rPr>
        <w:rFonts w:hint="eastAsia"/>
      </w:rPr>
    </w:lvl>
  </w:abstractNum>
  <w:abstractNum w:abstractNumId="2">
    <w:nsid w:val="4B422ACC"/>
    <w:multiLevelType w:val="singleLevel"/>
    <w:tmpl w:val="4B422ACC"/>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727E8"/>
    <w:rsid w:val="00010079"/>
    <w:rsid w:val="000D26F4"/>
    <w:rsid w:val="000E0A7A"/>
    <w:rsid w:val="000E4844"/>
    <w:rsid w:val="0017669B"/>
    <w:rsid w:val="00183255"/>
    <w:rsid w:val="00203271"/>
    <w:rsid w:val="002B581B"/>
    <w:rsid w:val="002F08BA"/>
    <w:rsid w:val="00317FB3"/>
    <w:rsid w:val="00366198"/>
    <w:rsid w:val="003C2B67"/>
    <w:rsid w:val="003C3D40"/>
    <w:rsid w:val="003E7668"/>
    <w:rsid w:val="004B5F30"/>
    <w:rsid w:val="00504C48"/>
    <w:rsid w:val="00512694"/>
    <w:rsid w:val="00512CAE"/>
    <w:rsid w:val="0053095C"/>
    <w:rsid w:val="0059790A"/>
    <w:rsid w:val="005D56E4"/>
    <w:rsid w:val="005D7592"/>
    <w:rsid w:val="006C6943"/>
    <w:rsid w:val="00743FB0"/>
    <w:rsid w:val="007B3905"/>
    <w:rsid w:val="007B4ECC"/>
    <w:rsid w:val="0088297D"/>
    <w:rsid w:val="008C4E07"/>
    <w:rsid w:val="00932CFF"/>
    <w:rsid w:val="00A65FFA"/>
    <w:rsid w:val="00A846BE"/>
    <w:rsid w:val="00B15AD1"/>
    <w:rsid w:val="00B234AD"/>
    <w:rsid w:val="00B55122"/>
    <w:rsid w:val="00B955E8"/>
    <w:rsid w:val="00BC23CF"/>
    <w:rsid w:val="00BD2300"/>
    <w:rsid w:val="00BE0782"/>
    <w:rsid w:val="00BE5EBD"/>
    <w:rsid w:val="00BF1F08"/>
    <w:rsid w:val="00C104F1"/>
    <w:rsid w:val="00D74EC5"/>
    <w:rsid w:val="00D947B5"/>
    <w:rsid w:val="00DC0406"/>
    <w:rsid w:val="00E727E8"/>
    <w:rsid w:val="00E76C14"/>
    <w:rsid w:val="00E84F5E"/>
    <w:rsid w:val="00EB036E"/>
    <w:rsid w:val="00F1622A"/>
    <w:rsid w:val="00F51DBD"/>
    <w:rsid w:val="00F6545B"/>
    <w:rsid w:val="00FB2FEF"/>
    <w:rsid w:val="00FC2E55"/>
    <w:rsid w:val="048B3CD6"/>
    <w:rsid w:val="06400729"/>
    <w:rsid w:val="18F4105E"/>
    <w:rsid w:val="2AA80B4C"/>
    <w:rsid w:val="2E3F250D"/>
    <w:rsid w:val="33DC6464"/>
    <w:rsid w:val="34980B8B"/>
    <w:rsid w:val="3BFD2DAC"/>
    <w:rsid w:val="3C745DBC"/>
    <w:rsid w:val="3D587806"/>
    <w:rsid w:val="44332008"/>
    <w:rsid w:val="47EA7EA7"/>
    <w:rsid w:val="491907B2"/>
    <w:rsid w:val="534F3A0A"/>
    <w:rsid w:val="574D39DE"/>
    <w:rsid w:val="6AED74DD"/>
    <w:rsid w:val="6F9D6ED2"/>
    <w:rsid w:val="74250911"/>
    <w:rsid w:val="76625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列出段落1"/>
    <w:basedOn w:val="1"/>
    <w:qFormat/>
    <w:uiPriority w:val="0"/>
    <w:pPr>
      <w:ind w:firstLine="420" w:firstLineChars="200"/>
    </w:pPr>
  </w:style>
  <w:style w:type="paragraph" w:customStyle="1" w:styleId="9">
    <w:name w:val="WPS Plain"/>
    <w:qFormat/>
    <w:uiPriority w:val="0"/>
    <w:rPr>
      <w:rFonts w:ascii="Times New Roman" w:hAnsi="Times New Roman" w:eastAsia="宋体" w:cs="Times New Roman"/>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E2597-2014-42C7-81CB-3F0D51CCC20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824</Words>
  <Characters>4702</Characters>
  <Lines>39</Lines>
  <Paragraphs>11</Paragraphs>
  <TotalTime>14</TotalTime>
  <ScaleCrop>false</ScaleCrop>
  <LinksUpToDate>false</LinksUpToDate>
  <CharactersWithSpaces>5515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2020-03-05T02:41:00Z</dcterms:created>
  <dc:creator>Sky123.Org</dc:creator>
  <cp:lastModifiedBy>Administrator</cp:lastModifiedBy>
  <dcterms:modified xsi:type="dcterms:W3CDTF">2021-03-03T01:56:10Z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