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仿宋_GB2312" w:hAnsi="仿宋_GB2312" w:eastAsia="宋体" w:cs="仿宋_GB2312"/>
          <w:b/>
          <w:bCs/>
          <w:sz w:val="44"/>
          <w:szCs w:val="44"/>
          <w:u w:val="single"/>
          <w:lang w:eastAsia="zh-CN"/>
        </w:rPr>
      </w:pPr>
      <w:r>
        <w:rPr>
          <w:rFonts w:hint="eastAsia" w:ascii="宋体" w:hAnsi="宋体" w:cs="宋体"/>
          <w:b/>
          <w:bCs/>
          <w:sz w:val="44"/>
          <w:szCs w:val="44"/>
          <w:u w:val="single"/>
        </w:rPr>
        <w:t>第一事业部赤峰金剑</w:t>
      </w:r>
      <w:r>
        <w:rPr>
          <w:rFonts w:hint="eastAsia" w:ascii="宋体" w:hAnsi="宋体" w:cs="宋体"/>
          <w:b/>
          <w:bCs/>
          <w:sz w:val="44"/>
          <w:szCs w:val="44"/>
          <w:u w:val="single"/>
          <w:lang w:eastAsia="zh-CN"/>
        </w:rPr>
        <w:t>项目</w:t>
      </w:r>
      <w:r>
        <w:rPr>
          <w:rFonts w:hint="eastAsia" w:ascii="宋体" w:hAnsi="宋体" w:cs="宋体"/>
          <w:b/>
          <w:bCs/>
          <w:sz w:val="44"/>
          <w:szCs w:val="44"/>
          <w:u w:val="single"/>
          <w:lang w:val="en-US" w:eastAsia="zh-CN"/>
        </w:rPr>
        <w:t>--</w:t>
      </w:r>
      <w:r>
        <w:rPr>
          <w:rFonts w:hint="eastAsia" w:ascii="宋体" w:hAnsi="宋体" w:cs="宋体"/>
          <w:b/>
          <w:bCs/>
          <w:sz w:val="44"/>
          <w:szCs w:val="44"/>
          <w:u w:val="single"/>
        </w:rPr>
        <w:t>乙烯基树脂</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highlight w:val="none"/>
        </w:rPr>
      </w:pPr>
    </w:p>
    <w:p>
      <w:pPr>
        <w:rPr>
          <w:rFonts w:hint="default" w:ascii="仿宋" w:hAnsi="仿宋" w:eastAsia="仿宋" w:cs="仿宋_GB2312"/>
          <w:b/>
          <w:bCs/>
          <w:sz w:val="32"/>
          <w:szCs w:val="32"/>
          <w:u w:val="single"/>
          <w:lang w:val="en-US"/>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TGJA-WZ-2021</w:t>
      </w:r>
      <w:r>
        <w:rPr>
          <w:rFonts w:hint="eastAsia" w:ascii="仿宋" w:hAnsi="仿宋" w:eastAsia="仿宋" w:cs="仿宋_GB2312"/>
          <w:b/>
          <w:bCs/>
          <w:sz w:val="32"/>
          <w:szCs w:val="32"/>
          <w:highlight w:val="none"/>
          <w:u w:val="single"/>
          <w:lang w:val="en-US" w:eastAsia="zh-CN"/>
        </w:rPr>
        <w:t>62</w:t>
      </w:r>
    </w:p>
    <w:p>
      <w:pPr>
        <w:rPr>
          <w:rFonts w:ascii="仿宋" w:hAnsi="仿宋" w:eastAsia="仿宋" w:cs="仿宋_GB2312"/>
          <w:b/>
          <w:bCs/>
          <w:sz w:val="32"/>
          <w:szCs w:val="32"/>
          <w:highlight w:val="cyan"/>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highlight w:val="none"/>
          <w:u w:val="single"/>
        </w:rPr>
        <w:t>2021年</w:t>
      </w:r>
      <w:r>
        <w:rPr>
          <w:rFonts w:hint="eastAsia" w:ascii="仿宋" w:hAnsi="仿宋" w:eastAsia="仿宋" w:cs="仿宋_GB2312"/>
          <w:b/>
          <w:bCs/>
          <w:sz w:val="32"/>
          <w:szCs w:val="32"/>
          <w:highlight w:val="none"/>
          <w:u w:val="single"/>
          <w:lang w:val="en-US" w:eastAsia="zh-CN"/>
        </w:rPr>
        <w:t>8</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20</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eastAsia="zh-CN"/>
        </w:rPr>
        <w:t>黄赟</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18656211500</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eastAsia="zh-CN"/>
        </w:rPr>
        <w:t>贾杰</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13965211845</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highlight w:val="cyan"/>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8</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20</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8</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25</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5、开标时间：</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8</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25</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u w:val="single"/>
        </w:rPr>
        <w:t>本次招标的具体内容如下 （详见报价单）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、有生产经营和安全许可要求的，必须有相应有效的许可证。</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各投标人需在开标之前至铜陵有色建安公司报名。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highlight w:val="cyan"/>
        </w:rPr>
      </w:pPr>
      <w:r>
        <w:rPr>
          <w:rFonts w:hint="eastAsia" w:ascii="仿宋_GB2312" w:hAnsi="仿宋_GB2312" w:eastAsia="仿宋_GB2312" w:cs="仿宋_GB2312"/>
          <w:sz w:val="28"/>
          <w:szCs w:val="28"/>
        </w:rPr>
        <w:t>3、报名自招标公告发布</w:t>
      </w:r>
      <w:r>
        <w:rPr>
          <w:rFonts w:hint="eastAsia" w:ascii="仿宋_GB2312" w:hAnsi="仿宋_GB2312" w:eastAsia="仿宋_GB2312" w:cs="仿宋_GB2312"/>
          <w:sz w:val="28"/>
          <w:szCs w:val="28"/>
          <w:highlight w:val="none"/>
        </w:rPr>
        <w:t>之日起至</w:t>
      </w:r>
      <w:r>
        <w:rPr>
          <w:rFonts w:hint="eastAsia" w:ascii="仿宋_GB2312" w:hAnsi="仿宋_GB2312" w:eastAsia="仿宋_GB2312" w:cs="仿宋_GB2312"/>
          <w:sz w:val="28"/>
          <w:szCs w:val="28"/>
          <w:highlight w:val="none"/>
          <w:u w:val="single"/>
        </w:rPr>
        <w:t>2021年</w:t>
      </w:r>
      <w:r>
        <w:rPr>
          <w:rFonts w:hint="eastAsia" w:ascii="仿宋_GB2312" w:hAnsi="仿宋_GB2312" w:eastAsia="仿宋_GB2312" w:cs="仿宋_GB2312"/>
          <w:sz w:val="28"/>
          <w:szCs w:val="28"/>
          <w:highlight w:val="none"/>
          <w:u w:val="single"/>
          <w:lang w:val="en-US" w:eastAsia="zh-CN"/>
        </w:rPr>
        <w:t>8</w:t>
      </w:r>
      <w:r>
        <w:rPr>
          <w:rFonts w:hint="eastAsia" w:ascii="仿宋_GB2312" w:hAnsi="仿宋_GB2312" w:eastAsia="仿宋_GB2312" w:cs="仿宋_GB2312"/>
          <w:sz w:val="28"/>
          <w:szCs w:val="28"/>
          <w:highlight w:val="none"/>
          <w:u w:val="single"/>
        </w:rPr>
        <w:t>月</w:t>
      </w:r>
      <w:r>
        <w:rPr>
          <w:rFonts w:hint="eastAsia" w:ascii="仿宋_GB2312" w:hAnsi="仿宋_GB2312" w:eastAsia="仿宋_GB2312" w:cs="仿宋_GB2312"/>
          <w:sz w:val="28"/>
          <w:szCs w:val="28"/>
          <w:highlight w:val="none"/>
          <w:u w:val="single"/>
          <w:lang w:val="en-US" w:eastAsia="zh-CN"/>
        </w:rPr>
        <w:t>24</w:t>
      </w:r>
      <w:r>
        <w:rPr>
          <w:rFonts w:hint="eastAsia" w:ascii="仿宋_GB2312" w:hAnsi="仿宋_GB2312" w:eastAsia="仿宋_GB2312" w:cs="仿宋_GB2312"/>
          <w:sz w:val="28"/>
          <w:szCs w:val="28"/>
          <w:highlight w:val="none"/>
          <w:u w:val="single"/>
        </w:rPr>
        <w:t>日17:30止</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铜冠建安公司物资供应部（铜陵市长江西路2571号一楼西侧办公室）也可通过网络形式报名，将相关资料通过网络发给报名联系人。</w:t>
      </w:r>
    </w:p>
    <w:p>
      <w:pPr>
        <w:ind w:firstLine="560" w:firstLineChars="200"/>
        <w:rPr>
          <w:rFonts w:ascii="仿宋" w:hAnsi="仿宋" w:eastAsia="仿宋_GB2312" w:cs="仿宋_GB2312"/>
          <w:sz w:val="32"/>
          <w:szCs w:val="32"/>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lang w:eastAsia="zh-CN"/>
        </w:rPr>
        <w:t>贾杰</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13965211845</w:t>
      </w:r>
      <w:r>
        <w:rPr>
          <w:rFonts w:hint="eastAsia" w:ascii="仿宋_GB2312" w:hAnsi="仿宋_GB2312" w:eastAsia="仿宋_GB2312" w:cs="仿宋_GB2312"/>
          <w:sz w:val="28"/>
          <w:szCs w:val="28"/>
          <w:u w:val="single"/>
        </w:rPr>
        <w:t>）</w:t>
      </w:r>
    </w:p>
    <w:p>
      <w:pPr>
        <w:rPr>
          <w:rFonts w:hint="eastAsia" w:ascii="仿宋" w:hAnsi="仿宋" w:eastAsia="仿宋" w:cs="仿宋_GB2312"/>
          <w:sz w:val="32"/>
          <w:szCs w:val="32"/>
          <w:u w:val="single"/>
          <w:lang w:eastAsia="zh-CN"/>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w:t>
      </w:r>
      <w:r>
        <w:rPr>
          <w:rFonts w:hint="eastAsia" w:ascii="仿宋" w:hAnsi="仿宋" w:eastAsia="仿宋" w:cs="仿宋_GB2312"/>
          <w:sz w:val="28"/>
          <w:szCs w:val="28"/>
          <w:highlight w:val="none"/>
        </w:rPr>
        <w:t>止时间：</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8</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25</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材料质量要求：符合GB/T2567-2008，GB/17193-2008</w:t>
      </w:r>
      <w:r>
        <w:rPr>
          <w:rFonts w:ascii="仿宋" w:hAnsi="仿宋" w:eastAsia="仿宋" w:cs="仿宋_GB2312"/>
          <w:color w:val="000000" w:themeColor="text1"/>
          <w:sz w:val="28"/>
          <w:szCs w:val="28"/>
          <w:u w:val="single"/>
          <w14:textFill>
            <w14:solidFill>
              <w14:schemeClr w14:val="tx1"/>
            </w14:solidFill>
          </w14:textFill>
        </w:rPr>
        <w:t>标准相关规定</w:t>
      </w:r>
      <w:r>
        <w:rPr>
          <w:rFonts w:hint="eastAsia" w:ascii="仿宋" w:hAnsi="仿宋" w:eastAsia="仿宋" w:cs="仿宋_GB2312"/>
          <w:color w:val="000000" w:themeColor="text1"/>
          <w:sz w:val="28"/>
          <w:szCs w:val="28"/>
          <w:u w:val="single"/>
          <w14:textFill>
            <w14:solidFill>
              <w14:schemeClr w14:val="tx1"/>
            </w14:solidFill>
          </w14:textFill>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合同签订后，</w:t>
      </w:r>
      <w:r>
        <w:rPr>
          <w:rFonts w:hint="eastAsia" w:ascii="仿宋" w:hAnsi="仿宋" w:eastAsia="仿宋" w:cs="仿宋_GB2312"/>
          <w:sz w:val="28"/>
          <w:szCs w:val="28"/>
          <w:u w:val="single"/>
        </w:rPr>
        <w:t>根据到货情况，货到验收合格并开立增值税专用发票后，</w:t>
      </w:r>
      <w:r>
        <w:rPr>
          <w:rFonts w:hint="eastAsia" w:ascii="仿宋" w:hAnsi="仿宋" w:eastAsia="仿宋" w:cs="仿宋_GB2312"/>
          <w:sz w:val="28"/>
          <w:szCs w:val="28"/>
          <w:u w:val="single"/>
          <w:lang w:eastAsia="zh-CN"/>
        </w:rPr>
        <w:t>次月付至</w:t>
      </w:r>
      <w:r>
        <w:rPr>
          <w:rFonts w:hint="eastAsia" w:ascii="仿宋" w:hAnsi="仿宋" w:eastAsia="仿宋" w:cs="仿宋_GB2312"/>
          <w:sz w:val="28"/>
          <w:szCs w:val="28"/>
          <w:u w:val="single"/>
          <w:lang w:val="en-US" w:eastAsia="zh-CN"/>
        </w:rPr>
        <w:t>50%，余款3</w:t>
      </w:r>
      <w:r>
        <w:rPr>
          <w:rFonts w:hint="eastAsia" w:ascii="仿宋" w:hAnsi="仿宋" w:eastAsia="仿宋" w:cs="仿宋_GB2312"/>
          <w:sz w:val="28"/>
          <w:szCs w:val="28"/>
          <w:u w:val="single"/>
        </w:rPr>
        <w:t>个月内结清。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none"/>
          <w:lang w:val="en-US" w:eastAsia="zh-CN"/>
        </w:rPr>
        <w:t>投标廉洁承诺书</w:t>
      </w:r>
      <w:r>
        <w:rPr>
          <w:rFonts w:hint="eastAsia" w:ascii="仿宋_GB2312" w:hAnsi="仿宋_GB2312" w:eastAsia="仿宋_GB2312" w:cs="仿宋_GB2312"/>
          <w:sz w:val="28"/>
          <w:szCs w:val="28"/>
          <w:highlight w:val="none"/>
        </w:rPr>
        <w:t>及有法人代表签字的《法人代表授权书》并加盖公章作为</w:t>
      </w:r>
      <w:r>
        <w:rPr>
          <w:rFonts w:hint="eastAsia" w:ascii="仿宋_GB2312" w:hAnsi="仿宋_GB2312" w:eastAsia="仿宋_GB2312" w:cs="仿宋_GB2312"/>
          <w:sz w:val="28"/>
          <w:szCs w:val="28"/>
        </w:rPr>
        <w:t>投标资料的一部分。</w:t>
      </w:r>
      <w:r>
        <w:rPr>
          <w:rFonts w:hint="eastAsia" w:ascii="仿宋_GB2312" w:hAnsi="仿宋_GB2312" w:eastAsia="仿宋_GB2312" w:cs="仿宋_GB2312"/>
          <w:b/>
          <w:bCs/>
          <w:sz w:val="28"/>
          <w:szCs w:val="28"/>
        </w:rPr>
        <w:t>以上事项不符合要求的视为无效投标。</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（2）投标文件密封袋封口处应密封完整，加盖投标单位公章，并且注明招标编号及材料名称。因投标人制作、密封、寄送报价文件</w:t>
      </w:r>
      <w:r>
        <w:rPr>
          <w:rFonts w:hint="eastAsia" w:ascii="仿宋_GB2312" w:hAnsi="仿宋_GB2312" w:eastAsia="仿宋_GB2312" w:cs="仿宋_GB2312"/>
          <w:b/>
          <w:bCs/>
          <w:sz w:val="28"/>
          <w:szCs w:val="28"/>
        </w:rPr>
        <w:t>不符合要求的视为无效投标。</w:t>
      </w:r>
    </w:p>
    <w:p>
      <w:pPr>
        <w:ind w:firstLine="565" w:firstLineChars="202"/>
        <w:rPr>
          <w:rFonts w:ascii="仿宋_GB2312" w:hAnsi="仿宋_GB2312" w:eastAsia="仿宋_GB2312" w:cs="仿宋_GB2312"/>
          <w:b/>
          <w:bCs/>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）投标人的所有报价文件，除《法定代表人授权书》中的法定代表人签名、</w:t>
      </w:r>
      <w:r>
        <w:rPr>
          <w:rFonts w:hint="eastAsia" w:ascii="仿宋" w:hAnsi="仿宋" w:eastAsia="仿宋" w:cs="仿宋_GB2312"/>
          <w:sz w:val="28"/>
          <w:szCs w:val="28"/>
          <w:highlight w:val="none"/>
          <w:lang w:val="en-US" w:eastAsia="zh-CN"/>
        </w:rPr>
        <w:t>投标廉洁承诺书中的承诺人签字、</w:t>
      </w:r>
      <w:r>
        <w:rPr>
          <w:rFonts w:hint="eastAsia" w:ascii="仿宋" w:hAnsi="仿宋" w:eastAsia="仿宋" w:cs="仿宋_GB2312"/>
          <w:sz w:val="28"/>
          <w:szCs w:val="28"/>
          <w:highlight w:val="none"/>
        </w:rPr>
        <w:t>报</w:t>
      </w:r>
      <w:r>
        <w:rPr>
          <w:rFonts w:hint="eastAsia" w:ascii="仿宋" w:hAnsi="仿宋" w:eastAsia="仿宋" w:cs="仿宋_GB2312"/>
          <w:sz w:val="28"/>
          <w:szCs w:val="28"/>
        </w:rPr>
        <w:t>价单中的法定代表人或授权委托人签名须手写以外，其他填写的内容均为加盖单位公章的打印件。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宋体"/>
          <w:bCs/>
          <w:sz w:val="28"/>
          <w:szCs w:val="28"/>
          <w:u w:val="single"/>
        </w:rPr>
        <w:t>材料送至</w:t>
      </w:r>
      <w:r>
        <w:rPr>
          <w:rFonts w:hint="eastAsia" w:ascii="仿宋" w:hAnsi="仿宋" w:eastAsia="仿宋" w:cs="宋体"/>
          <w:bCs/>
          <w:sz w:val="28"/>
          <w:szCs w:val="28"/>
          <w:u w:val="single"/>
          <w:lang w:eastAsia="zh-CN"/>
        </w:rPr>
        <w:t>内蒙古赤峰市</w:t>
      </w:r>
      <w:r>
        <w:rPr>
          <w:rFonts w:hint="eastAsia" w:ascii="仿宋" w:hAnsi="仿宋" w:eastAsia="仿宋" w:cs="宋体"/>
          <w:bCs/>
          <w:color w:val="000000" w:themeColor="text1"/>
          <w:sz w:val="28"/>
          <w:szCs w:val="28"/>
          <w:u w:val="single"/>
          <w:lang w:eastAsia="zh-CN"/>
          <w14:textFill>
            <w14:solidFill>
              <w14:schemeClr w14:val="tx1"/>
            </w14:solidFill>
          </w14:textFill>
        </w:rPr>
        <w:t>金剑铜业铜冶炼工艺升级搬迁改造一期电解扩建</w:t>
      </w:r>
      <w:r>
        <w:rPr>
          <w:rFonts w:hint="eastAsia" w:ascii="仿宋" w:hAnsi="仿宋" w:eastAsia="仿宋" w:cs="宋体"/>
          <w:bCs/>
          <w:color w:val="000000" w:themeColor="text1"/>
          <w:sz w:val="28"/>
          <w:szCs w:val="28"/>
          <w:u w:val="single"/>
          <w:lang w:val="en-US" w:eastAsia="zh-CN"/>
          <w14:textFill>
            <w14:solidFill>
              <w14:schemeClr w14:val="tx1"/>
            </w14:solidFill>
          </w14:textFill>
        </w:rPr>
        <w:t>5万吨</w:t>
      </w:r>
      <w:r>
        <w:rPr>
          <w:rFonts w:hint="eastAsia" w:ascii="仿宋" w:hAnsi="仿宋" w:eastAsia="仿宋" w:cs="宋体"/>
          <w:bCs/>
          <w:color w:val="000000" w:themeColor="text1"/>
          <w:sz w:val="28"/>
          <w:szCs w:val="28"/>
          <w:u w:val="single"/>
          <w14:textFill>
            <w14:solidFill>
              <w14:schemeClr w14:val="tx1"/>
            </w14:solidFill>
          </w14:textFill>
        </w:rPr>
        <w:t>项目</w:t>
      </w:r>
      <w:r>
        <w:rPr>
          <w:rFonts w:hint="eastAsia" w:ascii="仿宋" w:hAnsi="仿宋" w:eastAsia="仿宋" w:cs="仿宋_GB2312"/>
          <w:color w:val="000000" w:themeColor="text1"/>
          <w:sz w:val="28"/>
          <w:szCs w:val="28"/>
          <w:u w:val="single"/>
          <w14:textFill>
            <w14:solidFill>
              <w14:schemeClr w14:val="tx1"/>
            </w14:solidFill>
          </w14:textFill>
        </w:rPr>
        <w:t>施工场所。</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rPr>
        <w:t>7、供货数量验收确认方式</w:t>
      </w:r>
      <w:r>
        <w:rPr>
          <w:rFonts w:hint="eastAsia" w:ascii="仿宋" w:hAnsi="仿宋" w:eastAsia="仿宋" w:cs="仿宋_GB2312"/>
          <w:sz w:val="28"/>
          <w:szCs w:val="28"/>
          <w:lang w:eastAsia="zh-CN"/>
        </w:rPr>
        <w:t>：</w:t>
      </w:r>
      <w:r>
        <w:rPr>
          <w:rFonts w:hint="eastAsia" w:ascii="仿宋" w:hAnsi="仿宋" w:eastAsia="仿宋" w:cs="仿宋_GB2312"/>
          <w:sz w:val="28"/>
          <w:szCs w:val="28"/>
          <w:u w:val="single"/>
        </w:rPr>
        <w:t>以实际到货验收数量为准。</w:t>
      </w: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spacing w:line="600" w:lineRule="exact"/>
        <w:jc w:val="center"/>
        <w:rPr>
          <w:rFonts w:ascii="仿宋" w:hAnsi="仿宋" w:eastAsia="仿宋" w:cs="仿宋_GB2312"/>
          <w:b/>
          <w:sz w:val="36"/>
          <w:szCs w:val="36"/>
        </w:rPr>
      </w:pP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hint="eastAsia" w:ascii="仿宋" w:hAnsi="仿宋" w:eastAsia="仿宋" w:cs="仿宋_GB2312"/>
          <w:sz w:val="28"/>
          <w:szCs w:val="28"/>
        </w:rPr>
      </w:pPr>
    </w:p>
    <w:p>
      <w:pPr>
        <w:jc w:val="both"/>
        <w:rPr>
          <w:rFonts w:hint="eastAsia" w:ascii="仿宋" w:hAnsi="仿宋" w:eastAsia="仿宋" w:cs="仿宋_GB2312"/>
          <w:b/>
          <w:sz w:val="36"/>
          <w:szCs w:val="36"/>
          <w:highlight w:val="cyan"/>
        </w:rPr>
      </w:pPr>
    </w:p>
    <w:p>
      <w:pPr>
        <w:jc w:val="center"/>
        <w:rPr>
          <w:rFonts w:hint="eastAsia" w:ascii="仿宋" w:hAnsi="仿宋" w:eastAsia="仿宋" w:cs="仿宋_GB2312"/>
          <w:b/>
          <w:sz w:val="36"/>
          <w:szCs w:val="36"/>
          <w:highlight w:val="cyan"/>
        </w:rPr>
      </w:pPr>
    </w:p>
    <w:p>
      <w:pPr>
        <w:jc w:val="center"/>
        <w:rPr>
          <w:rFonts w:hint="eastAsia" w:ascii="仿宋_GB2312" w:hAnsi="仿宋_GB2312" w:eastAsia="仿宋_GB2312" w:cs="仿宋_GB2312"/>
          <w:b/>
          <w:bCs/>
          <w:sz w:val="36"/>
          <w:szCs w:val="36"/>
          <w:highlight w:val="none"/>
          <w:lang w:eastAsia="zh-CN"/>
        </w:rPr>
      </w:pPr>
      <w:r>
        <w:rPr>
          <w:rFonts w:hint="eastAsia" w:ascii="仿宋" w:hAnsi="仿宋" w:eastAsia="仿宋" w:cs="仿宋_GB2312"/>
          <w:b/>
          <w:sz w:val="36"/>
          <w:szCs w:val="36"/>
          <w:highlight w:val="none"/>
        </w:rPr>
        <w:t>十</w:t>
      </w:r>
      <w:r>
        <w:rPr>
          <w:rFonts w:hint="eastAsia" w:ascii="仿宋" w:hAnsi="仿宋" w:eastAsia="仿宋" w:cs="仿宋_GB2312"/>
          <w:b/>
          <w:sz w:val="36"/>
          <w:szCs w:val="36"/>
          <w:highlight w:val="none"/>
          <w:lang w:val="en-US" w:eastAsia="zh-CN"/>
        </w:rPr>
        <w:t>二、投标廉洁</w:t>
      </w:r>
      <w:r>
        <w:rPr>
          <w:rFonts w:hint="eastAsia" w:ascii="仿宋_GB2312" w:hAnsi="仿宋_GB2312" w:eastAsia="仿宋_GB2312" w:cs="仿宋_GB2312"/>
          <w:b/>
          <w:bCs/>
          <w:sz w:val="36"/>
          <w:szCs w:val="36"/>
          <w:highlight w:val="none"/>
          <w:lang w:eastAsia="zh-CN"/>
        </w:rPr>
        <w:t>承诺书</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color w:val="auto"/>
          <w:sz w:val="28"/>
          <w:szCs w:val="28"/>
          <w:highlight w:val="none"/>
        </w:rPr>
        <w:t>我</w:t>
      </w:r>
      <w:r>
        <w:rPr>
          <w:rFonts w:hint="eastAsia" w:ascii="仿宋_GB2312" w:hAnsi="仿宋_GB2312" w:eastAsia="仿宋_GB2312" w:cs="仿宋_GB2312"/>
          <w:color w:val="auto"/>
          <w:sz w:val="28"/>
          <w:szCs w:val="28"/>
          <w:highlight w:val="none"/>
          <w:lang w:val="en-US" w:eastAsia="zh-CN"/>
        </w:rPr>
        <w:t>单位</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 w:hAnsi="仿宋" w:eastAsia="仿宋" w:cs="仿宋_GB2312"/>
          <w:sz w:val="28"/>
          <w:szCs w:val="28"/>
          <w:lang w:eastAsia="zh-CN"/>
        </w:rPr>
        <w:t>，</w:t>
      </w:r>
      <w:r>
        <w:rPr>
          <w:rFonts w:hint="eastAsia" w:ascii="仿宋_GB2312" w:hAnsi="仿宋_GB2312" w:eastAsia="仿宋_GB2312" w:cs="仿宋_GB2312"/>
          <w:sz w:val="28"/>
          <w:szCs w:val="28"/>
        </w:rPr>
        <w:t>为加强</w:t>
      </w:r>
      <w:r>
        <w:rPr>
          <w:rFonts w:hint="eastAsia" w:ascii="仿宋_GB2312" w:hAnsi="仿宋_GB2312" w:eastAsia="仿宋_GB2312" w:cs="仿宋_GB2312"/>
          <w:sz w:val="28"/>
          <w:szCs w:val="28"/>
          <w:lang w:val="en-US" w:eastAsia="zh-CN"/>
        </w:rPr>
        <w:t>招投标管理</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廉政建设，防止发生各种谋取不正当利益的违法违纪行为、规范双方的各项活动，保护当事人</w:t>
      </w:r>
      <w:r>
        <w:rPr>
          <w:rFonts w:hint="eastAsia" w:ascii="仿宋_GB2312" w:hAnsi="仿宋_GB2312" w:eastAsia="仿宋_GB2312" w:cs="仿宋_GB2312"/>
          <w:sz w:val="28"/>
          <w:szCs w:val="28"/>
          <w:lang w:eastAsia="zh-CN"/>
        </w:rPr>
        <w:t>及所属公司</w:t>
      </w:r>
      <w:r>
        <w:rPr>
          <w:rFonts w:hint="eastAsia" w:ascii="仿宋_GB2312" w:hAnsi="仿宋_GB2312" w:eastAsia="仿宋_GB2312" w:cs="仿宋_GB2312"/>
          <w:sz w:val="28"/>
          <w:szCs w:val="28"/>
        </w:rPr>
        <w:t>的合法权益，</w:t>
      </w:r>
      <w:r>
        <w:rPr>
          <w:rFonts w:hint="eastAsia" w:ascii="仿宋_GB2312" w:hAnsi="仿宋_GB2312" w:eastAsia="仿宋_GB2312" w:cs="仿宋_GB2312"/>
          <w:sz w:val="28"/>
          <w:szCs w:val="28"/>
          <w:lang w:eastAsia="zh-CN"/>
        </w:rPr>
        <w:t>供方</w:t>
      </w:r>
      <w:r>
        <w:rPr>
          <w:rFonts w:hint="eastAsia" w:ascii="仿宋_GB2312" w:hAnsi="仿宋_GB2312" w:eastAsia="仿宋_GB2312" w:cs="仿宋_GB2312"/>
          <w:sz w:val="28"/>
          <w:szCs w:val="28"/>
        </w:rPr>
        <w:t>承诺：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不相互串通投标或者与招标人串通投标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不向招标人或者评标委员会成员行贿谋取中标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不以他人名义投标或者以其他方式弄虚作假骗取中标；</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承诺不向招标人及有关人员提供</w:t>
      </w:r>
      <w:r>
        <w:rPr>
          <w:rFonts w:hint="eastAsia" w:ascii="仿宋_GB2312" w:hAnsi="仿宋_GB2312" w:eastAsia="仿宋_GB2312" w:cs="仿宋_GB2312"/>
          <w:sz w:val="28"/>
          <w:szCs w:val="28"/>
          <w:lang w:val="en-US" w:eastAsia="zh-CN"/>
        </w:rPr>
        <w:t>任何形式的财、物及请吃消费；</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b w:val="0"/>
          <w:bCs w:val="0"/>
          <w:color w:val="000000"/>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_GB2312" w:hAnsi="仿宋_GB2312" w:eastAsia="仿宋_GB2312" w:cs="仿宋_GB2312"/>
          <w:b w:val="0"/>
          <w:bCs w:val="0"/>
          <w:color w:val="000000"/>
          <w:sz w:val="28"/>
          <w:szCs w:val="28"/>
          <w:u w:val="singl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承诺方</w:t>
      </w:r>
      <w:r>
        <w:rPr>
          <w:rFonts w:hint="eastAsia" w:ascii="仿宋_GB2312" w:hAnsi="仿宋_GB2312" w:eastAsia="仿宋_GB2312" w:cs="仿宋_GB2312"/>
          <w:sz w:val="28"/>
          <w:szCs w:val="28"/>
          <w:lang w:val="en-US" w:eastAsia="zh-CN"/>
        </w:rPr>
        <w:t>签字</w:t>
      </w:r>
      <w:r>
        <w:rPr>
          <w:rFonts w:hint="eastAsia" w:ascii="仿宋_GB2312" w:hAnsi="仿宋_GB2312" w:eastAsia="仿宋_GB2312" w:cs="仿宋_GB2312"/>
          <w:sz w:val="28"/>
          <w:szCs w:val="28"/>
          <w:u w:val="none"/>
          <w:lang w:val="en-US" w:eastAsia="zh-CN"/>
        </w:rPr>
        <w:t>:</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240" w:firstLineChars="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p>
    <w:p>
      <w:pPr>
        <w:spacing w:line="600" w:lineRule="exact"/>
        <w:jc w:val="right"/>
        <w:rPr>
          <w:rFonts w:hint="eastAsia"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三</w:t>
      </w:r>
      <w:r>
        <w:rPr>
          <w:rFonts w:hint="eastAsia" w:ascii="仿宋" w:hAnsi="仿宋" w:eastAsia="仿宋" w:cs="仿宋_GB2312"/>
          <w:b/>
          <w:sz w:val="36"/>
          <w:szCs w:val="36"/>
        </w:rPr>
        <w:t>、报价单</w:t>
      </w:r>
    </w:p>
    <w:p>
      <w:pPr>
        <w:rPr>
          <w:rFonts w:ascii="仿宋_GB2312" w:eastAsia="仿宋_GB2312"/>
          <w:b/>
          <w:sz w:val="28"/>
          <w:szCs w:val="28"/>
        </w:rPr>
      </w:pPr>
      <w:r>
        <w:rPr>
          <w:rFonts w:hint="eastAsia" w:ascii="仿宋_GB2312" w:eastAsia="仿宋_GB2312"/>
          <w:b/>
          <w:sz w:val="28"/>
          <w:szCs w:val="28"/>
        </w:rPr>
        <w:t>报价单（</w:t>
      </w:r>
      <w:r>
        <w:rPr>
          <w:rFonts w:hint="eastAsia" w:ascii="仿宋_GB2312" w:eastAsia="仿宋_GB2312"/>
          <w:b/>
          <w:sz w:val="28"/>
          <w:szCs w:val="28"/>
          <w:highlight w:val="none"/>
        </w:rPr>
        <w:t>TGJA-WZ-2021</w:t>
      </w:r>
      <w:r>
        <w:rPr>
          <w:rFonts w:hint="eastAsia" w:ascii="仿宋_GB2312" w:eastAsia="仿宋_GB2312"/>
          <w:b/>
          <w:sz w:val="28"/>
          <w:szCs w:val="28"/>
          <w:highlight w:val="none"/>
          <w:lang w:val="en-US" w:eastAsia="zh-CN"/>
        </w:rPr>
        <w:t>62</w:t>
      </w:r>
      <w:r>
        <w:rPr>
          <w:rFonts w:hint="eastAsia" w:ascii="仿宋_GB2312" w:eastAsia="仿宋_GB2312"/>
          <w:b/>
          <w:sz w:val="28"/>
          <w:szCs w:val="28"/>
        </w:rPr>
        <w:t>）</w:t>
      </w:r>
    </w:p>
    <w:tbl>
      <w:tblPr>
        <w:tblStyle w:val="46"/>
        <w:tblW w:w="15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083"/>
        <w:gridCol w:w="750"/>
        <w:gridCol w:w="1650"/>
        <w:gridCol w:w="950"/>
        <w:gridCol w:w="650"/>
        <w:gridCol w:w="767"/>
        <w:gridCol w:w="1367"/>
        <w:gridCol w:w="1533"/>
        <w:gridCol w:w="1283"/>
        <w:gridCol w:w="3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2"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2083"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物料名称</w:t>
            </w:r>
          </w:p>
        </w:tc>
        <w:tc>
          <w:tcPr>
            <w:tcW w:w="750"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型号规格</w:t>
            </w:r>
          </w:p>
        </w:tc>
        <w:tc>
          <w:tcPr>
            <w:tcW w:w="1650"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验收标准</w:t>
            </w:r>
          </w:p>
        </w:tc>
        <w:tc>
          <w:tcPr>
            <w:tcW w:w="950" w:type="dxa"/>
            <w:vAlign w:val="center"/>
          </w:tcPr>
          <w:p>
            <w:pPr>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品牌</w:t>
            </w:r>
          </w:p>
        </w:tc>
        <w:tc>
          <w:tcPr>
            <w:tcW w:w="650"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767"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1367" w:type="dxa"/>
            <w:vAlign w:val="center"/>
          </w:tcPr>
          <w:p>
            <w:pPr>
              <w:widowControl/>
              <w:jc w:val="center"/>
              <w:rPr>
                <w:rFonts w:hint="eastAsia" w:ascii="仿宋_GB2312" w:hAnsi="仿宋_GB2312" w:eastAsia="仿宋_GB2312" w:cs="仿宋_GB2312"/>
                <w:b/>
                <w:bCs/>
                <w:sz w:val="24"/>
              </w:rPr>
            </w:pPr>
            <w:r>
              <w:rPr>
                <w:rFonts w:hint="eastAsia" w:ascii="仿宋_GB2312" w:hAnsi="仿宋_GB2312" w:eastAsia="仿宋_GB2312" w:cs="仿宋_GB2312"/>
                <w:b/>
                <w:bCs/>
                <w:color w:val="000000"/>
                <w:kern w:val="0"/>
                <w:szCs w:val="21"/>
              </w:rPr>
              <w:t>单价  （元）</w:t>
            </w:r>
            <w:r>
              <w:rPr>
                <w:rFonts w:hint="eastAsia" w:ascii="仿宋_GB2312" w:hAnsi="仿宋_GB2312" w:eastAsia="仿宋_GB2312" w:cs="仿宋_GB2312"/>
                <w:b/>
                <w:bCs/>
                <w:sz w:val="24"/>
              </w:rPr>
              <w:t>＊</w:t>
            </w:r>
          </w:p>
        </w:tc>
        <w:tc>
          <w:tcPr>
            <w:tcW w:w="1533" w:type="dxa"/>
            <w:vAlign w:val="center"/>
          </w:tcPr>
          <w:p>
            <w:pPr>
              <w:widowControl/>
              <w:jc w:val="center"/>
              <w:rPr>
                <w:rFonts w:hint="eastAsia" w:ascii="仿宋_GB2312" w:hAnsi="仿宋_GB2312" w:eastAsia="仿宋_GB2312" w:cs="仿宋_GB2312"/>
                <w:b/>
                <w:bCs/>
                <w:sz w:val="24"/>
              </w:rPr>
            </w:pPr>
            <w:r>
              <w:rPr>
                <w:rFonts w:hint="eastAsia" w:ascii="仿宋_GB2312" w:hAnsi="仿宋_GB2312" w:eastAsia="仿宋_GB2312" w:cs="仿宋_GB2312"/>
                <w:b/>
                <w:bCs/>
                <w:color w:val="000000"/>
                <w:kern w:val="0"/>
                <w:szCs w:val="21"/>
              </w:rPr>
              <w:t>合价 （元）</w:t>
            </w:r>
            <w:r>
              <w:rPr>
                <w:rFonts w:hint="eastAsia" w:ascii="仿宋_GB2312" w:hAnsi="仿宋_GB2312" w:eastAsia="仿宋_GB2312" w:cs="仿宋_GB2312"/>
                <w:b/>
                <w:bCs/>
                <w:sz w:val="24"/>
              </w:rPr>
              <w:t>＊</w:t>
            </w:r>
          </w:p>
        </w:tc>
        <w:tc>
          <w:tcPr>
            <w:tcW w:w="1283"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税率＊</w:t>
            </w:r>
          </w:p>
        </w:tc>
        <w:tc>
          <w:tcPr>
            <w:tcW w:w="3950"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08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乙烯基树脂</w:t>
            </w:r>
          </w:p>
        </w:tc>
        <w:tc>
          <w:tcPr>
            <w:tcW w:w="750" w:type="dxa"/>
            <w:vAlign w:val="center"/>
          </w:tcPr>
          <w:p>
            <w:pPr>
              <w:widowControl/>
              <w:jc w:val="center"/>
              <w:textAlignment w:val="center"/>
              <w:rPr>
                <w:rFonts w:hint="eastAsia" w:ascii="仿宋_GB2312" w:hAnsi="仿宋_GB2312" w:eastAsia="仿宋_GB2312" w:cs="仿宋_GB2312"/>
                <w:kern w:val="0"/>
                <w:sz w:val="21"/>
                <w:szCs w:val="21"/>
                <w:highlight w:val="cyan"/>
                <w:u w:val="none"/>
              </w:rPr>
            </w:pPr>
          </w:p>
        </w:tc>
        <w:tc>
          <w:tcPr>
            <w:tcW w:w="1650" w:type="dxa"/>
            <w:vAlign w:val="center"/>
          </w:tcPr>
          <w:p>
            <w:pPr>
              <w:widowControl/>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color w:val="000000" w:themeColor="text1"/>
                <w:sz w:val="21"/>
                <w:szCs w:val="21"/>
                <w:u w:val="none"/>
                <w14:textFill>
                  <w14:solidFill>
                    <w14:schemeClr w14:val="tx1"/>
                  </w14:solidFill>
                </w14:textFill>
              </w:rPr>
              <w:t>GB/T2567-2008GB/17193-2008</w:t>
            </w:r>
          </w:p>
        </w:tc>
        <w:tc>
          <w:tcPr>
            <w:tcW w:w="95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千克</w:t>
            </w:r>
          </w:p>
        </w:tc>
        <w:tc>
          <w:tcPr>
            <w:tcW w:w="767"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4625</w:t>
            </w:r>
          </w:p>
        </w:tc>
        <w:tc>
          <w:tcPr>
            <w:tcW w:w="1367"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53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28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3950" w:type="dxa"/>
            <w:vAlign w:val="center"/>
          </w:tcPr>
          <w:p>
            <w:pPr>
              <w:widowControl/>
              <w:jc w:val="left"/>
              <w:textAlignment w:val="center"/>
              <w:rPr>
                <w:rFonts w:hint="eastAsia" w:ascii="仿宋_GB2312" w:hAnsi="仿宋_GB2312" w:eastAsia="仿宋_GB2312" w:cs="仿宋_GB2312"/>
                <w:kern w:val="0"/>
                <w:sz w:val="21"/>
                <w:szCs w:val="21"/>
                <w:u w:val="none"/>
                <w:lang w:eastAsia="zh-CN"/>
              </w:rPr>
            </w:pPr>
            <w:r>
              <w:rPr>
                <w:rFonts w:hint="eastAsia" w:ascii="仿宋_GB2312" w:hAnsi="仿宋_GB2312" w:eastAsia="仿宋_GB2312" w:cs="仿宋_GB2312"/>
                <w:bCs/>
                <w:color w:val="000000" w:themeColor="text1"/>
                <w:sz w:val="21"/>
                <w:szCs w:val="21"/>
                <w:u w:val="none"/>
                <w:lang w:eastAsia="zh-CN"/>
                <w14:textFill>
                  <w14:solidFill>
                    <w14:schemeClr w14:val="tx1"/>
                  </w14:solidFill>
                </w14:textFill>
              </w:rPr>
              <w:t>送货地址：内蒙古赤峰市金剑铜业</w:t>
            </w:r>
            <w:r>
              <w:rPr>
                <w:rFonts w:hint="eastAsia" w:ascii="仿宋_GB2312" w:hAnsi="仿宋_GB2312" w:eastAsia="仿宋_GB2312" w:cs="仿宋_GB2312"/>
                <w:color w:val="000000" w:themeColor="text1"/>
                <w:sz w:val="21"/>
                <w:szCs w:val="21"/>
                <w:u w:val="none"/>
                <w14:textFill>
                  <w14:solidFill>
                    <w14:schemeClr w14:val="tx1"/>
                  </w14:solidFill>
                </w14:textFill>
              </w:rPr>
              <w:t>施工</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现</w:t>
            </w:r>
            <w:r>
              <w:rPr>
                <w:rFonts w:hint="eastAsia" w:ascii="仿宋_GB2312" w:hAnsi="仿宋_GB2312" w:eastAsia="仿宋_GB2312" w:cs="仿宋_GB2312"/>
                <w:color w:val="000000" w:themeColor="text1"/>
                <w:sz w:val="21"/>
                <w:szCs w:val="21"/>
                <w:u w:val="none"/>
                <w14:textFill>
                  <w14:solidFill>
                    <w14:schemeClr w14:val="tx1"/>
                  </w14:solidFill>
                </w14:textFill>
              </w:rPr>
              <w:t>场</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52"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2083"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乙烯基树脂稀释剂|苯乙烯</w:t>
            </w:r>
          </w:p>
        </w:tc>
        <w:tc>
          <w:tcPr>
            <w:tcW w:w="750"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650" w:type="dxa"/>
            <w:vAlign w:val="center"/>
          </w:tcPr>
          <w:p>
            <w:pPr>
              <w:widowControl/>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color w:val="000000" w:themeColor="text1"/>
                <w:sz w:val="21"/>
                <w:szCs w:val="21"/>
                <w:u w:val="none"/>
                <w14:textFill>
                  <w14:solidFill>
                    <w14:schemeClr w14:val="tx1"/>
                  </w14:solidFill>
                </w14:textFill>
              </w:rPr>
              <w:t>GB/T2567-2008GB/17193-2008</w:t>
            </w:r>
          </w:p>
        </w:tc>
        <w:tc>
          <w:tcPr>
            <w:tcW w:w="95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千克</w:t>
            </w:r>
          </w:p>
        </w:tc>
        <w:tc>
          <w:tcPr>
            <w:tcW w:w="767"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C00000"/>
                <w:kern w:val="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693</w:t>
            </w:r>
          </w:p>
        </w:tc>
        <w:tc>
          <w:tcPr>
            <w:tcW w:w="1367"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53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28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3950" w:type="dxa"/>
            <w:vAlign w:val="center"/>
          </w:tcPr>
          <w:p>
            <w:pPr>
              <w:widowControl/>
              <w:jc w:val="left"/>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bCs/>
                <w:color w:val="000000" w:themeColor="text1"/>
                <w:sz w:val="21"/>
                <w:szCs w:val="21"/>
                <w:u w:val="none"/>
                <w:lang w:eastAsia="zh-CN"/>
                <w14:textFill>
                  <w14:solidFill>
                    <w14:schemeClr w14:val="tx1"/>
                  </w14:solidFill>
                </w14:textFill>
              </w:rPr>
              <w:t>送货地址：内蒙古赤峰市金剑铜业</w:t>
            </w:r>
            <w:r>
              <w:rPr>
                <w:rFonts w:hint="eastAsia" w:ascii="仿宋_GB2312" w:hAnsi="仿宋_GB2312" w:eastAsia="仿宋_GB2312" w:cs="仿宋_GB2312"/>
                <w:color w:val="000000" w:themeColor="text1"/>
                <w:sz w:val="21"/>
                <w:szCs w:val="21"/>
                <w:u w:val="none"/>
                <w14:textFill>
                  <w14:solidFill>
                    <w14:schemeClr w14:val="tx1"/>
                  </w14:solidFill>
                </w14:textFill>
              </w:rPr>
              <w:t>施工</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现</w:t>
            </w:r>
            <w:r>
              <w:rPr>
                <w:rFonts w:hint="eastAsia" w:ascii="仿宋_GB2312" w:hAnsi="仿宋_GB2312" w:eastAsia="仿宋_GB2312" w:cs="仿宋_GB2312"/>
                <w:color w:val="000000" w:themeColor="text1"/>
                <w:sz w:val="21"/>
                <w:szCs w:val="21"/>
                <w:u w:val="none"/>
                <w14:textFill>
                  <w14:solidFill>
                    <w14:schemeClr w14:val="tx1"/>
                  </w14:solidFill>
                </w14:textFill>
              </w:rPr>
              <w:t>场</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52"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2083"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乙烯基树脂引发剂</w:t>
            </w:r>
          </w:p>
        </w:tc>
        <w:tc>
          <w:tcPr>
            <w:tcW w:w="750"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650" w:type="dxa"/>
            <w:vAlign w:val="center"/>
          </w:tcPr>
          <w:p>
            <w:pPr>
              <w:widowControl/>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color w:val="000000" w:themeColor="text1"/>
                <w:sz w:val="21"/>
                <w:szCs w:val="21"/>
                <w:u w:val="none"/>
                <w14:textFill>
                  <w14:solidFill>
                    <w14:schemeClr w14:val="tx1"/>
                  </w14:solidFill>
                </w14:textFill>
              </w:rPr>
              <w:t>GB/T2567-2008GB/17193-2008</w:t>
            </w:r>
          </w:p>
        </w:tc>
        <w:tc>
          <w:tcPr>
            <w:tcW w:w="95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千克</w:t>
            </w:r>
          </w:p>
        </w:tc>
        <w:tc>
          <w:tcPr>
            <w:tcW w:w="767"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C00000"/>
                <w:kern w:val="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185</w:t>
            </w:r>
          </w:p>
        </w:tc>
        <w:tc>
          <w:tcPr>
            <w:tcW w:w="1367"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53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28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3950" w:type="dxa"/>
            <w:vAlign w:val="center"/>
          </w:tcPr>
          <w:p>
            <w:pPr>
              <w:widowControl/>
              <w:jc w:val="left"/>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bCs/>
                <w:color w:val="000000" w:themeColor="text1"/>
                <w:sz w:val="21"/>
                <w:szCs w:val="21"/>
                <w:u w:val="none"/>
                <w:lang w:eastAsia="zh-CN"/>
                <w14:textFill>
                  <w14:solidFill>
                    <w14:schemeClr w14:val="tx1"/>
                  </w14:solidFill>
                </w14:textFill>
              </w:rPr>
              <w:t>送货地址：内蒙古赤峰市金剑铜业</w:t>
            </w:r>
            <w:r>
              <w:rPr>
                <w:rFonts w:hint="eastAsia" w:ascii="仿宋_GB2312" w:hAnsi="仿宋_GB2312" w:eastAsia="仿宋_GB2312" w:cs="仿宋_GB2312"/>
                <w:color w:val="000000" w:themeColor="text1"/>
                <w:sz w:val="21"/>
                <w:szCs w:val="21"/>
                <w:u w:val="none"/>
                <w14:textFill>
                  <w14:solidFill>
                    <w14:schemeClr w14:val="tx1"/>
                  </w14:solidFill>
                </w14:textFill>
              </w:rPr>
              <w:t>施工</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现</w:t>
            </w:r>
            <w:r>
              <w:rPr>
                <w:rFonts w:hint="eastAsia" w:ascii="仿宋_GB2312" w:hAnsi="仿宋_GB2312" w:eastAsia="仿宋_GB2312" w:cs="仿宋_GB2312"/>
                <w:color w:val="000000" w:themeColor="text1"/>
                <w:sz w:val="21"/>
                <w:szCs w:val="21"/>
                <w:u w:val="none"/>
                <w14:textFill>
                  <w14:solidFill>
                    <w14:schemeClr w14:val="tx1"/>
                  </w14:solidFill>
                </w14:textFill>
              </w:rPr>
              <w:t>场</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52"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2083"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乙烯基树脂促进剂</w:t>
            </w:r>
          </w:p>
        </w:tc>
        <w:tc>
          <w:tcPr>
            <w:tcW w:w="750"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650" w:type="dxa"/>
            <w:vAlign w:val="center"/>
          </w:tcPr>
          <w:p>
            <w:pPr>
              <w:widowControl/>
              <w:jc w:val="center"/>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color w:val="000000" w:themeColor="text1"/>
                <w:sz w:val="21"/>
                <w:szCs w:val="21"/>
                <w:u w:val="none"/>
                <w14:textFill>
                  <w14:solidFill>
                    <w14:schemeClr w14:val="tx1"/>
                  </w14:solidFill>
                </w14:textFill>
              </w:rPr>
              <w:t>GB/T2567-2008GB/17193-2008</w:t>
            </w:r>
          </w:p>
        </w:tc>
        <w:tc>
          <w:tcPr>
            <w:tcW w:w="95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千克</w:t>
            </w:r>
          </w:p>
        </w:tc>
        <w:tc>
          <w:tcPr>
            <w:tcW w:w="767"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C00000"/>
                <w:kern w:val="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185</w:t>
            </w:r>
          </w:p>
        </w:tc>
        <w:tc>
          <w:tcPr>
            <w:tcW w:w="1367"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53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1283" w:type="dxa"/>
            <w:vAlign w:val="center"/>
          </w:tcPr>
          <w:p>
            <w:pPr>
              <w:widowControl/>
              <w:jc w:val="center"/>
              <w:textAlignment w:val="center"/>
              <w:rPr>
                <w:rFonts w:hint="eastAsia" w:ascii="仿宋_GB2312" w:hAnsi="仿宋_GB2312" w:eastAsia="仿宋_GB2312" w:cs="仿宋_GB2312"/>
                <w:kern w:val="0"/>
                <w:sz w:val="21"/>
                <w:szCs w:val="21"/>
                <w:u w:val="none"/>
              </w:rPr>
            </w:pPr>
          </w:p>
        </w:tc>
        <w:tc>
          <w:tcPr>
            <w:tcW w:w="3950" w:type="dxa"/>
            <w:vAlign w:val="center"/>
          </w:tcPr>
          <w:p>
            <w:pPr>
              <w:widowControl/>
              <w:jc w:val="left"/>
              <w:textAlignment w:val="center"/>
              <w:rPr>
                <w:rFonts w:hint="eastAsia" w:ascii="仿宋_GB2312" w:hAnsi="仿宋_GB2312" w:eastAsia="仿宋_GB2312" w:cs="仿宋_GB2312"/>
                <w:kern w:val="0"/>
                <w:sz w:val="21"/>
                <w:szCs w:val="21"/>
                <w:u w:val="none"/>
              </w:rPr>
            </w:pPr>
            <w:r>
              <w:rPr>
                <w:rFonts w:hint="eastAsia" w:ascii="仿宋_GB2312" w:hAnsi="仿宋_GB2312" w:eastAsia="仿宋_GB2312" w:cs="仿宋_GB2312"/>
                <w:bCs/>
                <w:color w:val="000000" w:themeColor="text1"/>
                <w:sz w:val="21"/>
                <w:szCs w:val="21"/>
                <w:u w:val="none"/>
                <w:lang w:eastAsia="zh-CN"/>
                <w14:textFill>
                  <w14:solidFill>
                    <w14:schemeClr w14:val="tx1"/>
                  </w14:solidFill>
                </w14:textFill>
              </w:rPr>
              <w:t>送货地址：内蒙古赤峰市金剑铜业</w:t>
            </w:r>
            <w:r>
              <w:rPr>
                <w:rFonts w:hint="eastAsia" w:ascii="仿宋_GB2312" w:hAnsi="仿宋_GB2312" w:eastAsia="仿宋_GB2312" w:cs="仿宋_GB2312"/>
                <w:color w:val="000000" w:themeColor="text1"/>
                <w:sz w:val="21"/>
                <w:szCs w:val="21"/>
                <w:u w:val="none"/>
                <w14:textFill>
                  <w14:solidFill>
                    <w14:schemeClr w14:val="tx1"/>
                  </w14:solidFill>
                </w14:textFill>
              </w:rPr>
              <w:t>施工</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现</w:t>
            </w:r>
            <w:r>
              <w:rPr>
                <w:rFonts w:hint="eastAsia" w:ascii="仿宋_GB2312" w:hAnsi="仿宋_GB2312" w:eastAsia="仿宋_GB2312" w:cs="仿宋_GB2312"/>
                <w:color w:val="000000" w:themeColor="text1"/>
                <w:sz w:val="21"/>
                <w:szCs w:val="21"/>
                <w:u w:val="none"/>
                <w14:textFill>
                  <w14:solidFill>
                    <w14:schemeClr w14:val="tx1"/>
                  </w14:solidFill>
                </w14:textFill>
              </w:rPr>
              <w:t>场</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2083" w:type="dxa"/>
            <w:vAlign w:val="center"/>
          </w:tcPr>
          <w:p>
            <w:pPr>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合计</w:t>
            </w:r>
          </w:p>
        </w:tc>
        <w:tc>
          <w:tcPr>
            <w:tcW w:w="750" w:type="dxa"/>
            <w:vAlign w:val="center"/>
          </w:tcPr>
          <w:p>
            <w:pPr>
              <w:jc w:val="center"/>
              <w:rPr>
                <w:rFonts w:hint="eastAsia" w:ascii="仿宋_GB2312" w:hAnsi="仿宋_GB2312" w:eastAsia="仿宋_GB2312" w:cs="仿宋_GB2312"/>
                <w:sz w:val="21"/>
                <w:szCs w:val="21"/>
                <w:u w:val="none"/>
              </w:rPr>
            </w:pPr>
          </w:p>
        </w:tc>
        <w:tc>
          <w:tcPr>
            <w:tcW w:w="1650" w:type="dxa"/>
            <w:vAlign w:val="center"/>
          </w:tcPr>
          <w:p>
            <w:pPr>
              <w:jc w:val="center"/>
              <w:rPr>
                <w:rFonts w:hint="eastAsia" w:ascii="仿宋_GB2312" w:hAnsi="仿宋_GB2312" w:eastAsia="仿宋_GB2312" w:cs="仿宋_GB2312"/>
                <w:sz w:val="21"/>
                <w:szCs w:val="21"/>
                <w:u w:val="none"/>
              </w:rPr>
            </w:pPr>
          </w:p>
        </w:tc>
        <w:tc>
          <w:tcPr>
            <w:tcW w:w="950" w:type="dxa"/>
            <w:vAlign w:val="center"/>
          </w:tcPr>
          <w:p>
            <w:pPr>
              <w:jc w:val="center"/>
              <w:rPr>
                <w:rFonts w:hint="eastAsia" w:ascii="仿宋_GB2312" w:hAnsi="仿宋_GB2312" w:eastAsia="仿宋_GB2312" w:cs="仿宋_GB2312"/>
                <w:sz w:val="21"/>
                <w:szCs w:val="21"/>
                <w:u w:val="none"/>
              </w:rPr>
            </w:pPr>
          </w:p>
        </w:tc>
        <w:tc>
          <w:tcPr>
            <w:tcW w:w="650" w:type="dxa"/>
            <w:vAlign w:val="center"/>
          </w:tcPr>
          <w:p>
            <w:pPr>
              <w:jc w:val="center"/>
              <w:rPr>
                <w:rFonts w:hint="eastAsia" w:ascii="仿宋_GB2312" w:hAnsi="仿宋_GB2312" w:eastAsia="仿宋_GB2312" w:cs="仿宋_GB2312"/>
                <w:sz w:val="21"/>
                <w:szCs w:val="21"/>
                <w:u w:val="none"/>
              </w:rPr>
            </w:pPr>
          </w:p>
        </w:tc>
        <w:tc>
          <w:tcPr>
            <w:tcW w:w="767" w:type="dxa"/>
            <w:vAlign w:val="center"/>
          </w:tcPr>
          <w:p>
            <w:pPr>
              <w:jc w:val="center"/>
              <w:rPr>
                <w:rFonts w:hint="eastAsia" w:ascii="仿宋_GB2312" w:hAnsi="仿宋_GB2312" w:eastAsia="仿宋_GB2312" w:cs="仿宋_GB2312"/>
                <w:sz w:val="21"/>
                <w:szCs w:val="21"/>
                <w:u w:val="none"/>
              </w:rPr>
            </w:pPr>
          </w:p>
        </w:tc>
        <w:tc>
          <w:tcPr>
            <w:tcW w:w="1367" w:type="dxa"/>
            <w:vAlign w:val="center"/>
          </w:tcPr>
          <w:p>
            <w:pPr>
              <w:jc w:val="center"/>
              <w:rPr>
                <w:rFonts w:hint="eastAsia" w:ascii="仿宋_GB2312" w:hAnsi="仿宋_GB2312" w:eastAsia="仿宋_GB2312" w:cs="仿宋_GB2312"/>
                <w:sz w:val="21"/>
                <w:szCs w:val="21"/>
                <w:u w:val="none"/>
              </w:rPr>
            </w:pPr>
          </w:p>
        </w:tc>
        <w:tc>
          <w:tcPr>
            <w:tcW w:w="1533" w:type="dxa"/>
            <w:vAlign w:val="center"/>
          </w:tcPr>
          <w:p>
            <w:pPr>
              <w:jc w:val="center"/>
              <w:rPr>
                <w:rFonts w:hint="eastAsia" w:ascii="仿宋_GB2312" w:hAnsi="仿宋_GB2312" w:eastAsia="仿宋_GB2312" w:cs="仿宋_GB2312"/>
                <w:sz w:val="21"/>
                <w:szCs w:val="21"/>
                <w:u w:val="none"/>
              </w:rPr>
            </w:pPr>
          </w:p>
        </w:tc>
        <w:tc>
          <w:tcPr>
            <w:tcW w:w="1283" w:type="dxa"/>
            <w:vAlign w:val="center"/>
          </w:tcPr>
          <w:p>
            <w:pPr>
              <w:jc w:val="center"/>
              <w:rPr>
                <w:rFonts w:hint="eastAsia" w:ascii="仿宋_GB2312" w:hAnsi="仿宋_GB2312" w:eastAsia="仿宋_GB2312" w:cs="仿宋_GB2312"/>
                <w:sz w:val="21"/>
                <w:szCs w:val="21"/>
                <w:u w:val="none"/>
              </w:rPr>
            </w:pPr>
          </w:p>
        </w:tc>
        <w:tc>
          <w:tcPr>
            <w:tcW w:w="3950" w:type="dxa"/>
            <w:vAlign w:val="center"/>
          </w:tcPr>
          <w:p>
            <w:pPr>
              <w:jc w:val="left"/>
              <w:rPr>
                <w:rFonts w:hint="eastAsia" w:ascii="仿宋_GB2312" w:hAnsi="仿宋_GB2312" w:eastAsia="仿宋_GB2312" w:cs="仿宋_GB2312"/>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15535" w:type="dxa"/>
            <w:gridSpan w:val="11"/>
            <w:vAlign w:val="center"/>
          </w:tcPr>
          <w:p>
            <w:pPr>
              <w:ind w:firstLine="210" w:firstLineChars="100"/>
              <w:jc w:val="both"/>
              <w:rPr>
                <w:rFonts w:hint="eastAsia" w:ascii="仿宋_GB2312" w:hAnsi="仿宋_GB2312" w:eastAsia="仿宋_GB2312" w:cs="仿宋_GB2312"/>
                <w:sz w:val="21"/>
                <w:szCs w:val="21"/>
                <w:u w:val="none"/>
                <w:lang w:val="en-US" w:eastAsia="zh-CN"/>
              </w:rPr>
            </w:pPr>
            <w:r>
              <w:rPr>
                <w:rFonts w:hint="eastAsia" w:ascii="仿宋_GB2312" w:hAnsi="仿宋_GB2312" w:eastAsia="仿宋_GB2312" w:cs="仿宋_GB2312"/>
                <w:sz w:val="21"/>
                <w:szCs w:val="21"/>
                <w:u w:val="none"/>
              </w:rPr>
              <w:t>说明：1、此报价表中带 ＊ 号为必填项，投标人的报价单除法定代表人或授权委托人签名手写以外，其他填写内容均为打印件加盖投标人公章。2、税率栏填写时要具体明确税率及是否为增值税专业发票。</w:t>
            </w:r>
            <w:r>
              <w:rPr>
                <w:rFonts w:hint="eastAsia" w:ascii="仿宋_GB2312" w:hAnsi="仿宋_GB2312" w:eastAsia="仿宋_GB2312" w:cs="仿宋_GB2312"/>
                <w:sz w:val="21"/>
                <w:szCs w:val="21"/>
                <w:u w:val="none"/>
                <w:lang w:val="en-US" w:eastAsia="zh-CN"/>
              </w:rPr>
              <w:t>3</w:t>
            </w:r>
            <w:r>
              <w:rPr>
                <w:rFonts w:hint="eastAsia" w:ascii="仿宋_GB2312" w:hAnsi="仿宋_GB2312" w:eastAsia="仿宋_GB2312" w:cs="仿宋_GB2312"/>
                <w:color w:val="000000"/>
                <w:kern w:val="0"/>
                <w:sz w:val="21"/>
                <w:szCs w:val="21"/>
                <w:u w:val="none"/>
                <w:lang w:val="en-US" w:eastAsia="zh-CN"/>
              </w:rPr>
              <w:t>、乙烯基树脂具体质量标准：</w:t>
            </w:r>
            <w:r>
              <w:rPr>
                <w:rFonts w:hint="eastAsia" w:ascii="仿宋_GB2312" w:hAnsi="仿宋_GB2312" w:eastAsia="仿宋_GB2312" w:cs="仿宋_GB2312"/>
                <w:color w:val="000000"/>
                <w:kern w:val="0"/>
                <w:sz w:val="21"/>
                <w:szCs w:val="21"/>
                <w:highlight w:val="none"/>
                <w:u w:val="none"/>
              </w:rPr>
              <w:t>颜色为淡黄色透明液体，粘度mpa.s(25°C)250-550、凝胶时间min(25°C) 5-40、固体含量（%）59.0±3.5、热稳定性hr(80°C)≥24、酸值mgKOH/g10.0±4.5。执行国家质量标准号：GB/T2567-2008，GB/17193-2008，如</w:t>
            </w:r>
            <w:r>
              <w:rPr>
                <w:rFonts w:hint="eastAsia" w:ascii="仿宋_GB2312" w:hAnsi="仿宋_GB2312" w:eastAsia="仿宋_GB2312" w:cs="仿宋_GB2312"/>
                <w:color w:val="000000"/>
                <w:kern w:val="0"/>
                <w:sz w:val="21"/>
                <w:szCs w:val="21"/>
                <w:u w:val="none"/>
              </w:rPr>
              <w:t>发现质量问题，</w:t>
            </w:r>
            <w:r>
              <w:rPr>
                <w:rFonts w:hint="eastAsia" w:ascii="仿宋_GB2312" w:hAnsi="仿宋_GB2312" w:eastAsia="仿宋_GB2312" w:cs="仿宋_GB2312"/>
                <w:color w:val="000000"/>
                <w:kern w:val="0"/>
                <w:sz w:val="21"/>
                <w:szCs w:val="21"/>
                <w:u w:val="none"/>
                <w:lang w:eastAsia="zh-CN"/>
              </w:rPr>
              <w:t>货到</w:t>
            </w:r>
            <w:r>
              <w:rPr>
                <w:rFonts w:hint="eastAsia" w:ascii="仿宋_GB2312" w:hAnsi="仿宋_GB2312" w:eastAsia="仿宋_GB2312" w:cs="仿宋_GB2312"/>
                <w:color w:val="000000"/>
                <w:kern w:val="0"/>
                <w:sz w:val="21"/>
                <w:szCs w:val="21"/>
                <w:u w:val="none"/>
              </w:rPr>
              <w:t>后十日内提出，供方</w:t>
            </w:r>
            <w:r>
              <w:rPr>
                <w:rFonts w:hint="eastAsia" w:ascii="仿宋_GB2312" w:hAnsi="仿宋_GB2312" w:eastAsia="仿宋_GB2312" w:cs="仿宋_GB2312"/>
                <w:color w:val="000000"/>
                <w:kern w:val="0"/>
                <w:sz w:val="21"/>
                <w:szCs w:val="21"/>
                <w:u w:val="none"/>
                <w:lang w:val="en-US" w:eastAsia="zh-CN"/>
              </w:rPr>
              <w:t>5</w:t>
            </w:r>
            <w:r>
              <w:rPr>
                <w:rFonts w:hint="eastAsia" w:ascii="仿宋_GB2312" w:hAnsi="仿宋_GB2312" w:eastAsia="仿宋_GB2312" w:cs="仿宋_GB2312"/>
                <w:color w:val="000000"/>
                <w:kern w:val="0"/>
                <w:sz w:val="21"/>
                <w:szCs w:val="21"/>
                <w:u w:val="none"/>
              </w:rPr>
              <w:t>天内无条件换货</w:t>
            </w:r>
            <w:r>
              <w:rPr>
                <w:rFonts w:hint="eastAsia" w:ascii="仿宋_GB2312" w:hAnsi="仿宋_GB2312" w:eastAsia="仿宋_GB2312" w:cs="仿宋_GB2312"/>
                <w:color w:val="000000"/>
                <w:kern w:val="0"/>
                <w:sz w:val="21"/>
                <w:szCs w:val="21"/>
                <w:u w:val="none"/>
                <w:lang w:eastAsia="zh-CN"/>
              </w:rPr>
              <w:t>，</w:t>
            </w:r>
            <w:r>
              <w:rPr>
                <w:rFonts w:hint="eastAsia" w:ascii="仿宋_GB2312" w:hAnsi="仿宋_GB2312" w:eastAsia="仿宋_GB2312" w:cs="仿宋_GB2312"/>
                <w:color w:val="000000"/>
                <w:kern w:val="0"/>
                <w:sz w:val="21"/>
                <w:szCs w:val="21"/>
                <w:u w:val="none"/>
              </w:rPr>
              <w:t xml:space="preserve">往返费用供方承担 </w:t>
            </w:r>
            <w:r>
              <w:rPr>
                <w:rFonts w:hint="eastAsia" w:ascii="仿宋_GB2312" w:hAnsi="仿宋_GB2312" w:eastAsia="仿宋_GB2312" w:cs="仿宋_GB2312"/>
                <w:color w:val="000000"/>
                <w:kern w:val="0"/>
                <w:sz w:val="21"/>
                <w:szCs w:val="21"/>
                <w:u w:val="none"/>
                <w:lang w:val="en-US" w:eastAsia="zh-CN"/>
              </w:rPr>
              <w:t>4、</w:t>
            </w:r>
            <w:r>
              <w:rPr>
                <w:rFonts w:hint="eastAsia" w:ascii="仿宋_GB2312" w:hAnsi="仿宋_GB2312" w:eastAsia="仿宋_GB2312" w:cs="仿宋_GB2312"/>
                <w:sz w:val="21"/>
                <w:szCs w:val="21"/>
                <w:u w:val="none"/>
              </w:rPr>
              <w:t>因合同发生争议，先行友好协商解决，协商不成的，任何一方均有权向合同签订地人民法院——即铜陵市铜官区人民法院起诉，如因级别管辖限制不能向铜官区人民法院起诉的，则应根据级别管辖规定向铜陵市中级人民法院或安徽省高级人民法院起诉。</w:t>
            </w:r>
          </w:p>
          <w:p>
            <w:pPr>
              <w:ind w:firstLine="840" w:firstLineChars="40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402" w:type="dxa"/>
            <w:gridSpan w:val="7"/>
            <w:vMerge w:val="restart"/>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投标单位（公章）</w:t>
            </w:r>
            <w:bookmarkStart w:id="0" w:name="_GoBack"/>
            <w:bookmarkEnd w:id="0"/>
          </w:p>
        </w:tc>
        <w:tc>
          <w:tcPr>
            <w:tcW w:w="2900" w:type="dxa"/>
            <w:gridSpan w:val="2"/>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法定代表人或授权委托人</w:t>
            </w:r>
          </w:p>
        </w:tc>
        <w:tc>
          <w:tcPr>
            <w:tcW w:w="5233" w:type="dxa"/>
            <w:gridSpan w:val="2"/>
            <w:vAlign w:val="center"/>
          </w:tcPr>
          <w:p>
            <w:pP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02" w:type="dxa"/>
            <w:gridSpan w:val="7"/>
            <w:vMerge w:val="continue"/>
            <w:vAlign w:val="center"/>
          </w:tcPr>
          <w:p>
            <w:pPr>
              <w:rPr>
                <w:rFonts w:hint="eastAsia" w:ascii="仿宋_GB2312" w:hAnsi="仿宋_GB2312" w:eastAsia="仿宋_GB2312" w:cs="仿宋_GB2312"/>
                <w:sz w:val="21"/>
                <w:szCs w:val="21"/>
              </w:rPr>
            </w:pPr>
          </w:p>
        </w:tc>
        <w:tc>
          <w:tcPr>
            <w:tcW w:w="1367" w:type="dxa"/>
            <w:vMerge w:val="restart"/>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联系方式</w:t>
            </w:r>
          </w:p>
        </w:tc>
        <w:tc>
          <w:tcPr>
            <w:tcW w:w="1533" w:type="dxa"/>
            <w:vAlign w:val="center"/>
          </w:tcPr>
          <w:p>
            <w:pPr>
              <w:jc w:val="center"/>
              <w:rPr>
                <w:rFonts w:hint="eastAsia" w:ascii="仿宋_GB2312" w:hAnsi="仿宋_GB2312" w:eastAsia="仿宋_GB2312" w:cs="仿宋_GB2312"/>
                <w:sz w:val="21"/>
                <w:szCs w:val="21"/>
              </w:rPr>
            </w:pPr>
          </w:p>
        </w:tc>
        <w:tc>
          <w:tcPr>
            <w:tcW w:w="5233" w:type="dxa"/>
            <w:gridSpan w:val="2"/>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402" w:type="dxa"/>
            <w:gridSpan w:val="7"/>
            <w:vMerge w:val="continue"/>
            <w:vAlign w:val="center"/>
          </w:tcPr>
          <w:p>
            <w:pPr>
              <w:rPr>
                <w:rFonts w:hint="eastAsia" w:ascii="仿宋_GB2312" w:hAnsi="仿宋_GB2312" w:eastAsia="仿宋_GB2312" w:cs="仿宋_GB2312"/>
                <w:sz w:val="21"/>
                <w:szCs w:val="21"/>
              </w:rPr>
            </w:pPr>
          </w:p>
        </w:tc>
        <w:tc>
          <w:tcPr>
            <w:tcW w:w="1367" w:type="dxa"/>
            <w:vMerge w:val="continue"/>
            <w:vAlign w:val="center"/>
          </w:tcPr>
          <w:p>
            <w:pPr>
              <w:jc w:val="center"/>
              <w:rPr>
                <w:rFonts w:hint="eastAsia" w:ascii="仿宋_GB2312" w:hAnsi="仿宋_GB2312" w:eastAsia="仿宋_GB2312" w:cs="仿宋_GB2312"/>
                <w:sz w:val="21"/>
                <w:szCs w:val="21"/>
              </w:rPr>
            </w:pPr>
          </w:p>
        </w:tc>
        <w:tc>
          <w:tcPr>
            <w:tcW w:w="1533" w:type="dxa"/>
            <w:vAlign w:val="center"/>
          </w:tcPr>
          <w:p>
            <w:pPr>
              <w:jc w:val="center"/>
              <w:rPr>
                <w:rFonts w:hint="eastAsia" w:ascii="仿宋_GB2312" w:hAnsi="仿宋_GB2312" w:eastAsia="仿宋_GB2312" w:cs="仿宋_GB2312"/>
                <w:sz w:val="21"/>
                <w:szCs w:val="21"/>
              </w:rPr>
            </w:pPr>
          </w:p>
        </w:tc>
        <w:tc>
          <w:tcPr>
            <w:tcW w:w="128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邮箱</w:t>
            </w:r>
          </w:p>
        </w:tc>
        <w:tc>
          <w:tcPr>
            <w:tcW w:w="3950" w:type="dxa"/>
            <w:vAlign w:val="center"/>
          </w:tcPr>
          <w:p>
            <w:pPr>
              <w:rPr>
                <w:rFonts w:hint="eastAsia" w:ascii="仿宋_GB2312" w:hAnsi="仿宋_GB2312" w:eastAsia="仿宋_GB2312" w:cs="仿宋_GB2312"/>
                <w:sz w:val="21"/>
                <w:szCs w:val="21"/>
              </w:rPr>
            </w:pPr>
          </w:p>
        </w:tc>
      </w:tr>
    </w:tbl>
    <w:p>
      <w:pPr>
        <w:rPr>
          <w:rFonts w:hint="eastAsia" w:ascii="仿宋_GB2312" w:hAnsi="仿宋_GB2312" w:eastAsia="仿宋_GB2312" w:cs="仿宋_GB2312"/>
          <w:sz w:val="21"/>
          <w:szCs w:val="21"/>
          <w:u w:val="single"/>
        </w:rPr>
      </w:pPr>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6241B2"/>
    <w:rsid w:val="0D2B4E23"/>
    <w:rsid w:val="0E691F69"/>
    <w:rsid w:val="0E876D2F"/>
    <w:rsid w:val="0EC82FD7"/>
    <w:rsid w:val="0EEA79E8"/>
    <w:rsid w:val="0F0E07DB"/>
    <w:rsid w:val="0F791AC7"/>
    <w:rsid w:val="10143EDA"/>
    <w:rsid w:val="10181623"/>
    <w:rsid w:val="10BD1543"/>
    <w:rsid w:val="11B31A31"/>
    <w:rsid w:val="11EB7260"/>
    <w:rsid w:val="120C1FB0"/>
    <w:rsid w:val="12A820AD"/>
    <w:rsid w:val="17D86D23"/>
    <w:rsid w:val="18582D0F"/>
    <w:rsid w:val="18665B7E"/>
    <w:rsid w:val="18AF15FD"/>
    <w:rsid w:val="197A053B"/>
    <w:rsid w:val="19D977BD"/>
    <w:rsid w:val="1B59783C"/>
    <w:rsid w:val="1BB44FC0"/>
    <w:rsid w:val="1BBF797C"/>
    <w:rsid w:val="1DEE2CCA"/>
    <w:rsid w:val="1E021478"/>
    <w:rsid w:val="1FB3349A"/>
    <w:rsid w:val="2037683E"/>
    <w:rsid w:val="22235530"/>
    <w:rsid w:val="223E7710"/>
    <w:rsid w:val="23037269"/>
    <w:rsid w:val="241E0AF1"/>
    <w:rsid w:val="25590EC9"/>
    <w:rsid w:val="26A26CEB"/>
    <w:rsid w:val="299D4A4C"/>
    <w:rsid w:val="29F40ABD"/>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A601760"/>
    <w:rsid w:val="4CC94A41"/>
    <w:rsid w:val="4E444379"/>
    <w:rsid w:val="4E822997"/>
    <w:rsid w:val="4ED20DFA"/>
    <w:rsid w:val="4F0F5DA2"/>
    <w:rsid w:val="4F397E6D"/>
    <w:rsid w:val="4F476A3C"/>
    <w:rsid w:val="4F54161A"/>
    <w:rsid w:val="504C2BE7"/>
    <w:rsid w:val="50D759E8"/>
    <w:rsid w:val="51335A69"/>
    <w:rsid w:val="51B50E5A"/>
    <w:rsid w:val="52041C28"/>
    <w:rsid w:val="546E74FF"/>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23156F6"/>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703849D5"/>
    <w:rsid w:val="711712EF"/>
    <w:rsid w:val="74B57A97"/>
    <w:rsid w:val="75352950"/>
    <w:rsid w:val="7541303A"/>
    <w:rsid w:val="77C81C4C"/>
    <w:rsid w:val="79136B09"/>
    <w:rsid w:val="793439F5"/>
    <w:rsid w:val="796E3D99"/>
    <w:rsid w:val="79ED6ADC"/>
    <w:rsid w:val="7B8D7C88"/>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13</Pages>
  <Words>690</Words>
  <Characters>3936</Characters>
  <Lines>32</Lines>
  <Paragraphs>9</Paragraphs>
  <TotalTime>8</TotalTime>
  <ScaleCrop>false</ScaleCrop>
  <LinksUpToDate>false</LinksUpToDate>
  <CharactersWithSpaces>4617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2021-08-19T02:14:17Z</dcterms:modified>
  <dc:title>中华人民共和国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CADA44EF54E0498B8A6D52D2EFC7D653</vt:lpwstr>
  </property>
</Properties>
</file>