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hint="eastAsia" w:ascii="仿宋" w:hAnsi="仿宋" w:eastAsia="宋体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第二事业部沙溪矿业建筑用砂、水泥、标砖、砌块招标文件</w:t>
      </w: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TGJA-WZ-2022-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83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2022年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贾杰（13965211845）、黄赟（18656211500）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3、投标文件递交地点：铜陵有色金属集团铜冠建筑安装股份有限公司审计监察室（长江西路2571号主楼三楼）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：本次招标分为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二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个包，详见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报价单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日17:30止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铜冠建安公司物资供应部（铜陵市长江西路2571号一楼西侧办公室）也可通过网络形式报名，将相关资料通过网络发给报名联系人。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贾杰（13965211845）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2022年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建设用砂</w:t>
      </w:r>
      <w:r>
        <w:rPr>
          <w:rFonts w:ascii="仿宋" w:hAnsi="仿宋" w:eastAsia="仿宋" w:cs="仿宋_GB2312"/>
          <w:sz w:val="28"/>
          <w:szCs w:val="28"/>
          <w:u w:val="single"/>
        </w:rPr>
        <w:t>》GB/T 1468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4</w:t>
      </w:r>
      <w:r>
        <w:rPr>
          <w:rFonts w:ascii="仿宋" w:hAnsi="仿宋" w:eastAsia="仿宋" w:cs="仿宋_GB2312"/>
          <w:sz w:val="28"/>
          <w:szCs w:val="28"/>
          <w:u w:val="single"/>
        </w:rPr>
        <w:t>-201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7、</w:t>
      </w:r>
      <w:r>
        <w:rPr>
          <w:rFonts w:ascii="仿宋" w:hAnsi="仿宋" w:eastAsia="仿宋" w:cs="仿宋_GB2312"/>
          <w:sz w:val="28"/>
          <w:szCs w:val="28"/>
          <w:u w:val="single"/>
        </w:rPr>
        <w:t>《通用硅酸盐水泥》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GB 175-2020、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普通混凝土小型砌块</w:t>
      </w:r>
      <w:r>
        <w:rPr>
          <w:rFonts w:ascii="仿宋" w:hAnsi="仿宋" w:eastAsia="仿宋" w:cs="仿宋_GB2312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GB/T8239-2014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以招标人抽样检验为准，其中天然中粗砂要求含水量≤5%、含泥量≤3%。所供材料如未达到技术指标要求，中标人应立即停供。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一包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我公司将保留供方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0000元材料款作为履约保证金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；二包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我公司将保留供方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5000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元材料款作为履约保证金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；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u w:val="single"/>
        </w:rPr>
        <w:t>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根据到货情况，货到验收合格后开具增值税专用发票，入账次月支付40%，春节前支付40%，剩余20%该春节后两年内付清。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至庐江沙溪矿业施工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天然细砂、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片石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招标人按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送货磅单结合量方验收，并随时抽磅；袋装水泥、水泥标砖、砌块按到货数量进行验收。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本次评标以价格为评标依据，采取“合理低价法”评标。即以经评委会审核，剔除偏离市场行情较大的恶意报价后的报价进行排序，其中价格最低的报价单位为预中标单位（报价表分1包、2包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、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单独竞价）。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评标委员会依据评标结果每包各推荐一名中标候选人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6、招标人和中标人应当自中标通知书发出之日起三十日内，按照招标文件和中标人的投标文件订立书面合同，招标人和中标人不得再行订立背离本次招标实质性内容的其他协议。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十一、报价单</w:t>
      </w:r>
    </w:p>
    <w:p>
      <w:p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报价单（TGJA-WZ-2022-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83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）1包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天然中粗砂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细度模数2.3-3.7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377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GB/T14684-2017，分批供货，每批约12~14吨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袋装普通硅酸盐水泥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PO32.5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GB 175-2020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rPr>
          <w:rFonts w:ascii="仿宋_GB2312" w:eastAsia="仿宋_GB2312"/>
          <w:b/>
          <w:bCs w:val="0"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</w:rPr>
        <w:t>报价单（TGJA-WZ-2022-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83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</w:rPr>
        <w:t>）2包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水泥标砖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240*115*53mm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块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GB/T8239-2014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混凝土多孔砖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240*115*90mm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立方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875</w:t>
            </w:r>
            <w:r>
              <w:rPr>
                <w:rFonts w:hint="eastAsia" w:ascii="宋体" w:hAnsi="宋体" w:cs="宋体"/>
                <w:sz w:val="24"/>
              </w:rPr>
              <w:t>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GB/T 11968-2020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center"/>
    </w:pPr>
  </w:p>
  <w:p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8531F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486F1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3E45615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11</Pages>
  <Words>3521</Words>
  <Characters>4013</Characters>
  <Lines>30</Lines>
  <Paragraphs>8</Paragraphs>
  <TotalTime>36</TotalTime>
  <ScaleCrop>false</ScaleCrop>
  <LinksUpToDate>false</LinksUpToDate>
  <CharactersWithSpaces>4055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海阔天空</cp:lastModifiedBy>
  <cp:lastPrinted>2019-05-06T09:43:00Z</cp:lastPrinted>
  <dcterms:modified xsi:type="dcterms:W3CDTF">2022-09-21T03:06:50Z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A613DD1B75C44F42BCCFD94376B39B69</vt:lpwstr>
  </property>
</Properties>
</file>