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书香苑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加气ALC内隔墙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eastAsia="zh-CN"/>
        </w:rPr>
        <w:t>二次挂网</w:t>
      </w: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359-2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第二事业部书香苑项目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ALC内隔墙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359-2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墙体材料应用统一技术规范</w:t>
      </w:r>
      <w:r>
        <w:rPr>
          <w:rFonts w:ascii="仿宋" w:hAnsi="仿宋" w:eastAsia="仿宋" w:cs="仿宋_GB2312"/>
          <w:sz w:val="28"/>
          <w:szCs w:val="28"/>
          <w:u w:val="singl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50574-2010、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住宅工程质量通病防治技术规程</w:t>
      </w:r>
      <w:r>
        <w:rPr>
          <w:rFonts w:ascii="仿宋" w:hAnsi="仿宋" w:eastAsia="仿宋" w:cs="仿宋_GB2312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DB34/1659-2012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（4）按招标人提供清单生产，分批发货；每批发货前，招标人提前7天通知具体发货明细。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（投标人如不响应此质量要求可在《第十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报价为含税（税率必须注明）、含运费、含包安装价。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一票制结算。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供应方须保证主体结构通过验收。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（2）墙板安装所需辅材及机械、人工均由供应方提供，并包含在报价中。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书香苑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收货人：程剑雄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本次招标设最高控制价，凡高于控制价均视为无效投标。</w:t>
      </w:r>
    </w:p>
    <w:p>
      <w:pPr>
        <w:numPr>
          <w:ilvl w:val="0"/>
          <w:numId w:val="0"/>
        </w:numPr>
        <w:ind w:firstLine="1120" w:firstLineChars="400"/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eastAsia="zh-CN"/>
        </w:rPr>
        <w:t>拦标价：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200mm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840元/立方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（含运费含安装不含税价）</w:t>
      </w:r>
    </w:p>
    <w:p>
      <w:pPr>
        <w:numPr>
          <w:ilvl w:val="0"/>
          <w:numId w:val="0"/>
        </w:numPr>
        <w:ind w:firstLine="1120" w:firstLineChars="400"/>
        <w:rPr>
          <w:rFonts w:hint="default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 xml:space="preserve">        100mm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860元/立方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（含运费含安装不含税价）</w:t>
      </w:r>
    </w:p>
    <w:p>
      <w:pPr>
        <w:spacing w:line="600" w:lineRule="exact"/>
        <w:ind w:firstLine="560" w:firstLineChars="200"/>
        <w:rPr>
          <w:rFonts w:hint="default" w:ascii="仿宋" w:hAnsi="仿宋" w:eastAsia="仿宋" w:cs="仿宋_GB2312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中标人需在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40天内完成此次招标物资的供应和安装。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一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359-2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加气ALC内隔墙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200mm厚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1434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GB/50574-2010；DB34/1659-2012，加工明细详见所附清单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加气ALC内隔墙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100mm厚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GB/50574-2010；DB34/1659-2012，加工明细详见所附清单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含运费、含包安装价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。供应方须保证主体结构通过验收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墙板安装所需辅材及机械、人工均由供应方提供，并包含在报价中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保留至小数点后两位。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color w:val="auto"/>
          <w:sz w:val="36"/>
          <w:szCs w:val="36"/>
          <w:lang w:eastAsia="zh-CN"/>
        </w:rPr>
        <w:t>四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hint="default" w:eastAsia="仿宋_GB2312"/>
          <w:lang w:val="en-US" w:eastAsia="zh-CN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59-2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C7C9E5"/>
    <w:multiLevelType w:val="singleLevel"/>
    <w:tmpl w:val="23C7C9E5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3B90F4F"/>
    <w:rsid w:val="048A48C3"/>
    <w:rsid w:val="05BF33B5"/>
    <w:rsid w:val="071C395D"/>
    <w:rsid w:val="0A5C7401"/>
    <w:rsid w:val="0A884E47"/>
    <w:rsid w:val="0B2B537E"/>
    <w:rsid w:val="0C6241B2"/>
    <w:rsid w:val="0D2B4E23"/>
    <w:rsid w:val="0E636EF9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211FB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6C3867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81960ED"/>
    <w:rsid w:val="69AD4D95"/>
    <w:rsid w:val="69B54174"/>
    <w:rsid w:val="6A066BEE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1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2023-04-21T07:56:35Z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