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建材公司水稳</w:t>
      </w:r>
      <w:r>
        <w:rPr>
          <w:rFonts w:hint="eastAsia" w:ascii="仿宋" w:hAnsi="仿宋" w:eastAsia="仿宋" w:cs="宋体"/>
          <w:b/>
          <w:bCs/>
          <w:kern w:val="1"/>
          <w:sz w:val="44"/>
          <w:szCs w:val="44"/>
          <w:u w:val="single"/>
        </w:rPr>
        <w:t>材料</w:t>
      </w:r>
      <w:r>
        <w:rPr>
          <w:rFonts w:hint="eastAsia" w:ascii="仿宋" w:hAnsi="仿宋" w:eastAsia="仿宋" w:cs="仿宋"/>
          <w:b/>
          <w:bCs/>
          <w:kern w:val="1"/>
          <w:sz w:val="44"/>
          <w:szCs w:val="44"/>
          <w:u w:val="single"/>
        </w:rPr>
        <w:t>Ⅱ</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3103</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w:t>
      </w:r>
      <w:r>
        <w:rPr>
          <w:rFonts w:hint="eastAsia" w:ascii="仿宋" w:hAnsi="仿宋" w:eastAsia="仿宋" w:cs="仿宋_GB2312"/>
          <w:sz w:val="28"/>
          <w:szCs w:val="28"/>
          <w:lang w:eastAsia="zh-CN"/>
        </w:rPr>
        <w:t>项目</w:t>
      </w:r>
      <w:r>
        <w:rPr>
          <w:rFonts w:hint="eastAsia" w:ascii="仿宋" w:hAnsi="仿宋" w:eastAsia="仿宋" w:cs="仿宋_GB2312"/>
          <w:sz w:val="28"/>
          <w:szCs w:val="28"/>
        </w:rPr>
        <w:t>的大约</w:t>
      </w:r>
      <w:r>
        <w:rPr>
          <w:rFonts w:hint="eastAsia" w:ascii="仿宋" w:hAnsi="仿宋" w:eastAsia="仿宋" w:cs="仿宋_GB2312"/>
          <w:sz w:val="28"/>
          <w:szCs w:val="28"/>
          <w:lang w:eastAsia="zh-CN"/>
        </w:rPr>
        <w:t>需用</w:t>
      </w:r>
      <w:r>
        <w:rPr>
          <w:rFonts w:hint="eastAsia" w:ascii="仿宋" w:hAnsi="仿宋" w:eastAsia="仿宋" w:cs="仿宋_GB2312"/>
          <w:sz w:val="28"/>
          <w:szCs w:val="28"/>
        </w:rPr>
        <w:t>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highlight w:val="none"/>
        </w:rPr>
        <w:t>六、保证金</w:t>
      </w:r>
    </w:p>
    <w:p>
      <w:pPr>
        <w:spacing w:line="560" w:lineRule="exact"/>
        <w:jc w:val="center"/>
        <w:rPr>
          <w:rFonts w:hint="eastAsia" w:ascii="仿宋" w:hAnsi="仿宋" w:eastAsia="仿宋" w:cs="仿宋_GB2312"/>
          <w:b/>
          <w:sz w:val="36"/>
          <w:szCs w:val="36"/>
          <w:highlight w:val="none"/>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val="en-US" w:eastAsia="zh-CN"/>
        </w:rPr>
        <w:t>壹</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b/>
          <w:bCs/>
          <w:color w:val="000000"/>
          <w:sz w:val="28"/>
          <w:szCs w:val="28"/>
          <w:highlight w:val="none"/>
          <w:u w:val="single"/>
          <w:lang w:val="en-US" w:eastAsia="zh-CN"/>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投标文件内附汇款凭证复印件。如投标人在铜冠建安公司（含各分子公司）有超过投标保证金数额的应收欠款，</w:t>
      </w:r>
      <w:r>
        <w:rPr>
          <w:rFonts w:hint="eastAsia" w:ascii="仿宋" w:hAnsi="仿宋" w:eastAsia="仿宋" w:cs="仿宋_GB2312"/>
          <w:sz w:val="28"/>
          <w:szCs w:val="28"/>
          <w:u w:val="single"/>
        </w:rPr>
        <w:t>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建材公司水稳</w:t>
      </w:r>
      <w:r>
        <w:rPr>
          <w:rFonts w:hint="eastAsia" w:ascii="仿宋" w:hAnsi="仿宋" w:eastAsia="仿宋" w:cs="仿宋_GB2312"/>
          <w:b/>
          <w:bCs/>
          <w:sz w:val="28"/>
          <w:szCs w:val="28"/>
          <w:u w:val="single"/>
        </w:rPr>
        <w:t>材料</w:t>
      </w:r>
      <w:r>
        <w:rPr>
          <w:rFonts w:hint="eastAsia" w:ascii="仿宋" w:hAnsi="仿宋" w:eastAsia="仿宋" w:cs="仿宋"/>
          <w:b/>
          <w:bCs/>
          <w:sz w:val="28"/>
          <w:szCs w:val="28"/>
          <w:u w:val="single"/>
        </w:rPr>
        <w:t>Ⅱ</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3103</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3、在签订合同</w:t>
      </w:r>
      <w:r>
        <w:rPr>
          <w:rFonts w:hint="eastAsia" w:ascii="仿宋" w:hAnsi="仿宋" w:eastAsia="仿宋" w:cs="仿宋_GB2312"/>
          <w:sz w:val="28"/>
          <w:szCs w:val="28"/>
          <w:lang w:eastAsia="zh-CN"/>
        </w:rPr>
        <w:t>后</w:t>
      </w:r>
      <w:r>
        <w:rPr>
          <w:rFonts w:hint="eastAsia" w:ascii="仿宋" w:hAnsi="仿宋" w:eastAsia="仿宋" w:cs="仿宋_GB2312"/>
          <w:sz w:val="28"/>
          <w:szCs w:val="28"/>
        </w:rPr>
        <w:t xml:space="preserve">，中标人须交纳履约保证金。履约保证金金额为中标合同总金额的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default" w:ascii="仿宋" w:hAnsi="仿宋" w:eastAsia="仿宋" w:cs="仿宋_GB2312"/>
          <w:b w:val="0"/>
          <w:bCs w:val="0"/>
          <w:sz w:val="28"/>
          <w:szCs w:val="28"/>
          <w:u w:val="single"/>
          <w:lang w:val="en-US" w:eastAsia="zh-CN"/>
        </w:rPr>
      </w:pPr>
      <w:r>
        <w:rPr>
          <w:rFonts w:hint="eastAsia" w:ascii="仿宋" w:hAnsi="仿宋" w:eastAsia="仿宋" w:cs="仿宋_GB2312"/>
          <w:b w:val="0"/>
          <w:bCs w:val="0"/>
          <w:sz w:val="28"/>
          <w:szCs w:val="28"/>
          <w:u w:val="single"/>
          <w:lang w:val="en-US" w:eastAsia="zh-CN"/>
        </w:rPr>
        <w:t>水泥含量6%，基层7天抗压强度</w:t>
      </w:r>
      <w:r>
        <w:rPr>
          <w:rFonts w:hint="eastAsia" w:ascii="宋体" w:hAnsi="宋体" w:eastAsia="宋体" w:cs="宋体"/>
          <w:b w:val="0"/>
          <w:bCs w:val="0"/>
          <w:sz w:val="28"/>
          <w:szCs w:val="28"/>
          <w:u w:val="single"/>
          <w:lang w:val="en-US" w:eastAsia="zh-CN"/>
        </w:rPr>
        <w:t>≧</w:t>
      </w:r>
      <w:r>
        <w:rPr>
          <w:rFonts w:hint="eastAsia" w:ascii="仿宋" w:hAnsi="仿宋" w:eastAsia="仿宋" w:cs="仿宋_GB2312"/>
          <w:b w:val="0"/>
          <w:bCs w:val="0"/>
          <w:sz w:val="28"/>
          <w:szCs w:val="28"/>
          <w:u w:val="single"/>
          <w:lang w:val="en-US" w:eastAsia="zh-CN"/>
        </w:rPr>
        <w:t>3.0MPa；符合GBJ22-87要求。水泥采用P.O42.5级，品牌为上峰或以上品牌。</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highlight w:val="none"/>
        </w:rPr>
        <w:t>（3）若达不到招标人要求的，中标人无条件</w:t>
      </w:r>
      <w:r>
        <w:rPr>
          <w:rFonts w:hint="eastAsia" w:ascii="仿宋" w:hAnsi="仿宋" w:eastAsia="仿宋" w:cs="仿宋_GB2312"/>
          <w:sz w:val="28"/>
          <w:szCs w:val="28"/>
        </w:rPr>
        <w:t>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铜冠建安公司分子公司各项目现场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由</w:t>
      </w:r>
      <w:r>
        <w:rPr>
          <w:rFonts w:hint="eastAsia" w:ascii="仿宋" w:hAnsi="仿宋" w:eastAsia="仿宋" w:cs="仿宋_GB2312"/>
          <w:sz w:val="28"/>
          <w:szCs w:val="28"/>
        </w:rPr>
        <w:t>中标人负责运输</w:t>
      </w:r>
      <w:r>
        <w:rPr>
          <w:rFonts w:hint="eastAsia" w:ascii="仿宋" w:hAnsi="仿宋" w:eastAsia="仿宋" w:cs="仿宋_GB2312"/>
          <w:sz w:val="28"/>
          <w:szCs w:val="28"/>
          <w:lang w:eastAsia="zh-CN"/>
        </w:rPr>
        <w:t>，</w:t>
      </w:r>
      <w:r>
        <w:rPr>
          <w:rFonts w:hint="eastAsia" w:ascii="仿宋" w:hAnsi="仿宋" w:eastAsia="仿宋" w:cs="仿宋_GB2312"/>
          <w:sz w:val="28"/>
          <w:szCs w:val="28"/>
        </w:rPr>
        <w:t>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hint="eastAsia" w:ascii="仿宋" w:hAnsi="仿宋" w:eastAsia="仿宋" w:cs="仿宋_GB2312"/>
          <w:sz w:val="28"/>
          <w:szCs w:val="28"/>
          <w:highlight w:val="none"/>
          <w:lang w:eastAsia="zh-CN"/>
        </w:rPr>
      </w:pPr>
      <w:r>
        <w:rPr>
          <w:rFonts w:hint="eastAsia" w:ascii="仿宋" w:hAnsi="仿宋" w:eastAsia="仿宋" w:cs="仿宋_GB2312"/>
          <w:sz w:val="28"/>
          <w:szCs w:val="28"/>
        </w:rPr>
        <w:t>（1）本次招标</w:t>
      </w:r>
      <w:r>
        <w:rPr>
          <w:rFonts w:hint="eastAsia" w:ascii="仿宋" w:hAnsi="仿宋" w:eastAsia="仿宋" w:cs="仿宋_GB2312"/>
          <w:sz w:val="28"/>
          <w:szCs w:val="28"/>
          <w:lang w:eastAsia="zh-CN"/>
        </w:rPr>
        <w:t>报价</w:t>
      </w:r>
      <w:r>
        <w:rPr>
          <w:rFonts w:hint="eastAsia" w:ascii="仿宋" w:hAnsi="仿宋" w:eastAsia="仿宋" w:cs="仿宋_GB2312"/>
          <w:sz w:val="28"/>
          <w:szCs w:val="28"/>
          <w:highlight w:val="none"/>
          <w:lang w:eastAsia="zh-CN"/>
        </w:rPr>
        <w:t>为</w:t>
      </w:r>
      <w:r>
        <w:rPr>
          <w:rFonts w:hint="eastAsia" w:ascii="仿宋" w:hAnsi="仿宋" w:eastAsia="仿宋" w:cs="仿宋_GB2312"/>
          <w:sz w:val="28"/>
          <w:szCs w:val="28"/>
          <w:highlight w:val="none"/>
        </w:rPr>
        <w:t>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一票制价格；</w:t>
      </w:r>
    </w:p>
    <w:p>
      <w:pPr>
        <w:numPr>
          <w:ilvl w:val="0"/>
          <w:numId w:val="2"/>
        </w:num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eastAsia="zh-CN"/>
        </w:rPr>
        <w:t>一旦中标，合同期内价格不予调整。</w:t>
      </w:r>
    </w:p>
    <w:p>
      <w:pPr>
        <w:numPr>
          <w:ilvl w:val="0"/>
          <w:numId w:val="0"/>
        </w:numPr>
        <w:spacing w:line="560" w:lineRule="exact"/>
        <w:rPr>
          <w:rFonts w:ascii="仿宋" w:hAnsi="仿宋" w:eastAsia="仿宋" w:cs="仿宋_GB2312"/>
          <w:sz w:val="28"/>
          <w:szCs w:val="28"/>
        </w:rPr>
      </w:pP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（1）每车供货数量的确认：按送货磅单验收，并随时抽磅。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r>
        <w:rPr>
          <w:rFonts w:hint="eastAsia" w:ascii="仿宋" w:hAnsi="仿宋" w:eastAsia="仿宋" w:cs="仿宋"/>
          <w:sz w:val="28"/>
          <w:szCs w:val="28"/>
          <w:u w:val="none"/>
          <w:lang w:eastAsia="zh-CN"/>
        </w:rPr>
        <w:t>需方有权进行抽磅，抽磅后若</w:t>
      </w:r>
      <w:r>
        <w:rPr>
          <w:rFonts w:hint="eastAsia" w:ascii="仿宋" w:hAnsi="仿宋" w:eastAsia="仿宋" w:cs="仿宋"/>
          <w:sz w:val="28"/>
          <w:szCs w:val="28"/>
          <w:u w:val="none"/>
          <w:lang w:val="en-US" w:eastAsia="zh-CN"/>
        </w:rPr>
        <w:t>误差超过千分之四，按所供货物当月结算总量（上月26日至本月25日累计量）的最大误差扣除。最大误差是指抽检时发现的最大重量不足误差。以当月抽查次数中偏差最大的比例在当月扣除（当月总量*当月抽查次数中最大偏差比例）。抽</w:t>
      </w:r>
      <w:r>
        <w:rPr>
          <w:rFonts w:hint="eastAsia" w:ascii="仿宋" w:hAnsi="仿宋" w:eastAsia="仿宋" w:cs="仿宋"/>
          <w:sz w:val="28"/>
          <w:szCs w:val="28"/>
          <w:u w:val="none"/>
          <w:lang w:eastAsia="zh-CN"/>
        </w:rPr>
        <w:t>磅地点：铜陵铜冠建安新型环保建材科技有限公司地磅。</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7、结算价格</w:t>
      </w:r>
    </w:p>
    <w:p>
      <w:pPr>
        <w:spacing w:line="560" w:lineRule="exact"/>
        <w:rPr>
          <w:rFonts w:hint="eastAsia" w:ascii="仿宋" w:hAnsi="仿宋" w:eastAsia="仿宋" w:cs="仿宋"/>
          <w:b w:val="0"/>
          <w:bCs w:val="0"/>
          <w:spacing w:val="-17"/>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u w:val="single"/>
        </w:rPr>
        <w:t>各投标单位报价须谨慎，一旦中标不得以任何理由变更报价</w:t>
      </w:r>
      <w:r>
        <w:rPr>
          <w:rFonts w:hint="eastAsia" w:ascii="仿宋" w:hAnsi="仿宋" w:eastAsia="仿宋" w:cs="仿宋"/>
          <w:b w:val="0"/>
          <w:bCs w:val="0"/>
          <w:spacing w:val="-17"/>
          <w:sz w:val="28"/>
          <w:szCs w:val="28"/>
          <w:u w:val="single"/>
        </w:rPr>
        <w:t>。</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8、付款方式</w:t>
      </w:r>
    </w:p>
    <w:p>
      <w:pPr>
        <w:spacing w:line="560" w:lineRule="exact"/>
        <w:ind w:firstLine="560" w:firstLineChars="200"/>
        <w:rPr>
          <w:rFonts w:hint="eastAsia"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lang w:val="en-US" w:eastAsia="zh-CN"/>
        </w:rPr>
        <w:t>7</w:t>
      </w:r>
      <w:r>
        <w:rPr>
          <w:rFonts w:hint="eastAsia" w:ascii="仿宋" w:hAnsi="仿宋" w:eastAsia="仿宋" w:cs="仿宋"/>
          <w:i w:val="0"/>
          <w:iCs w:val="0"/>
          <w:caps w:val="0"/>
          <w:color w:val="171A1D"/>
          <w:spacing w:val="0"/>
          <w:sz w:val="28"/>
          <w:szCs w:val="28"/>
          <w:highlight w:val="green"/>
          <w:shd w:val="clear" w:color="auto" w:fill="FFFFFF"/>
        </w:rPr>
        <w:t>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w:t>
      </w:r>
      <w:r>
        <w:rPr>
          <w:rFonts w:hint="eastAsia" w:ascii="仿宋" w:hAnsi="仿宋" w:eastAsia="仿宋" w:cs="仿宋"/>
          <w:i w:val="0"/>
          <w:iCs w:val="0"/>
          <w:caps w:val="0"/>
          <w:color w:val="171A1D"/>
          <w:spacing w:val="0"/>
          <w:sz w:val="28"/>
          <w:szCs w:val="28"/>
          <w:highlight w:val="green"/>
          <w:shd w:val="clear" w:color="auto" w:fill="FFFFFF"/>
          <w:lang w:val="en-US" w:eastAsia="zh-CN"/>
        </w:rPr>
        <w:t>9</w:t>
      </w:r>
      <w:r>
        <w:rPr>
          <w:rFonts w:hint="eastAsia" w:ascii="仿宋" w:hAnsi="仿宋" w:eastAsia="仿宋" w:cs="仿宋"/>
          <w:i w:val="0"/>
          <w:iCs w:val="0"/>
          <w:caps w:val="0"/>
          <w:color w:val="171A1D"/>
          <w:spacing w:val="0"/>
          <w:sz w:val="28"/>
          <w:szCs w:val="28"/>
          <w:highlight w:val="green"/>
          <w:shd w:val="clear" w:color="auto" w:fill="FFFFFF"/>
        </w:rPr>
        <w:t>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10%货款2024年6月30日前付清。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中标人与建材公司签订采购合同，付款由建安公司建材公司支付。</w:t>
      </w: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r>
        <w:rPr>
          <w:rFonts w:hint="eastAsia" w:ascii="仿宋" w:hAnsi="仿宋" w:eastAsia="仿宋" w:cs="仿宋"/>
          <w:b w:val="0"/>
          <w:bCs w:val="0"/>
          <w:i w:val="0"/>
          <w:iCs w:val="0"/>
          <w:caps w:val="0"/>
          <w:color w:val="171A1D"/>
          <w:spacing w:val="0"/>
          <w:sz w:val="28"/>
          <w:szCs w:val="28"/>
          <w:shd w:val="clear" w:color="auto" w:fill="FFFFFF"/>
          <w:lang w:val="en-US" w:eastAsia="zh-CN"/>
        </w:rPr>
        <w:t>开票信息：</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名称：铜陵铜冠建安新型环保建材科技有限公司</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纳税人识别号：91340700090790738A</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地址 电话：安徽省铜陵市经济技术开发区   0562-5861530</w:t>
      </w:r>
    </w:p>
    <w:p>
      <w:pPr>
        <w:spacing w:line="560" w:lineRule="exact"/>
        <w:ind w:firstLine="560" w:firstLineChars="200"/>
        <w:rPr>
          <w:rFonts w:hint="eastAsia" w:ascii="仿宋" w:hAnsi="仿宋" w:eastAsia="仿宋" w:cs="仿宋"/>
          <w:i w:val="0"/>
          <w:iCs w:val="0"/>
          <w:caps w:val="0"/>
          <w:color w:val="171A1D"/>
          <w:spacing w:val="0"/>
          <w:sz w:val="28"/>
          <w:szCs w:val="28"/>
          <w:highlight w:val="none"/>
          <w:shd w:val="clear" w:color="auto" w:fill="FFFFFF"/>
          <w:lang w:eastAsia="zh-CN"/>
        </w:rPr>
      </w:pPr>
      <w:r>
        <w:rPr>
          <w:rFonts w:hint="eastAsia" w:ascii="仿宋" w:hAnsi="仿宋" w:eastAsia="仿宋" w:cs="仿宋"/>
          <w:i w:val="0"/>
          <w:iCs w:val="0"/>
          <w:caps w:val="0"/>
          <w:color w:val="171A1D"/>
          <w:spacing w:val="0"/>
          <w:sz w:val="28"/>
          <w:szCs w:val="28"/>
          <w:shd w:val="clear" w:color="auto" w:fill="FFFFFF"/>
          <w:lang w:val="en-US" w:eastAsia="zh-CN"/>
        </w:rPr>
        <w:t>开户行及账号：中国银行义安支行  179725225176</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hint="eastAsia" w:ascii="仿宋" w:hAnsi="仿宋" w:eastAsia="仿宋" w:cs="仿宋_GB2312"/>
          <w:b/>
          <w:sz w:val="36"/>
          <w:szCs w:val="36"/>
        </w:rPr>
      </w:pPr>
      <w:r>
        <w:rPr>
          <w:rFonts w:hint="eastAsia" w:ascii="仿宋" w:hAnsi="仿宋" w:eastAsia="仿宋" w:cs="仿宋_GB2312"/>
          <w:b/>
          <w:sz w:val="36"/>
          <w:szCs w:val="36"/>
        </w:rPr>
        <w:t>报价单</w:t>
      </w:r>
    </w:p>
    <w:p>
      <w:pPr>
        <w:numPr>
          <w:ilvl w:val="0"/>
          <w:numId w:val="0"/>
        </w:numPr>
        <w:rPr>
          <w:rFonts w:ascii="仿宋_GB2312" w:eastAsia="仿宋_GB2312"/>
          <w:b/>
          <w:i/>
          <w:color w:val="auto"/>
          <w:sz w:val="28"/>
          <w:szCs w:val="28"/>
        </w:rPr>
      </w:pPr>
      <w:r>
        <w:rPr>
          <w:rFonts w:hint="eastAsia" w:ascii="仿宋_GB2312" w:eastAsia="仿宋_GB2312"/>
          <w:b/>
          <w:color w:val="auto"/>
          <w:sz w:val="28"/>
          <w:szCs w:val="28"/>
        </w:rPr>
        <w:t>报价单（TGJA-WZ-202</w:t>
      </w:r>
      <w:r>
        <w:rPr>
          <w:rFonts w:hint="eastAsia" w:ascii="仿宋_GB2312" w:eastAsia="仿宋_GB2312"/>
          <w:b/>
          <w:color w:val="auto"/>
          <w:sz w:val="28"/>
          <w:szCs w:val="28"/>
          <w:lang w:val="en-US" w:eastAsia="zh-CN"/>
        </w:rPr>
        <w:t>3103</w:t>
      </w:r>
      <w:r>
        <w:rPr>
          <w:rFonts w:hint="eastAsia" w:ascii="仿宋_GB2312" w:eastAsia="仿宋_GB2312"/>
          <w:b/>
          <w:color w:val="auto"/>
          <w:sz w:val="28"/>
          <w:szCs w:val="28"/>
        </w:rPr>
        <w:t>）</w:t>
      </w:r>
    </w:p>
    <w:tbl>
      <w:tblPr>
        <w:tblStyle w:val="54"/>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5"/>
        <w:gridCol w:w="2495"/>
        <w:gridCol w:w="1135"/>
        <w:gridCol w:w="1048"/>
        <w:gridCol w:w="179"/>
        <w:gridCol w:w="1132"/>
        <w:gridCol w:w="1677"/>
        <w:gridCol w:w="697"/>
        <w:gridCol w:w="1103"/>
        <w:gridCol w:w="232"/>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70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序号</w:t>
            </w:r>
          </w:p>
        </w:tc>
        <w:tc>
          <w:tcPr>
            <w:tcW w:w="170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物料名称</w:t>
            </w:r>
          </w:p>
        </w:tc>
        <w:tc>
          <w:tcPr>
            <w:tcW w:w="249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型号规格</w:t>
            </w:r>
          </w:p>
        </w:tc>
        <w:tc>
          <w:tcPr>
            <w:tcW w:w="113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单位</w:t>
            </w:r>
          </w:p>
        </w:tc>
        <w:tc>
          <w:tcPr>
            <w:tcW w:w="1227" w:type="dxa"/>
            <w:gridSpan w:val="2"/>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数量</w:t>
            </w:r>
          </w:p>
        </w:tc>
        <w:tc>
          <w:tcPr>
            <w:tcW w:w="1132"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单价＊</w:t>
            </w:r>
          </w:p>
        </w:tc>
        <w:tc>
          <w:tcPr>
            <w:tcW w:w="1677"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总价＊</w:t>
            </w:r>
          </w:p>
        </w:tc>
        <w:tc>
          <w:tcPr>
            <w:tcW w:w="2032" w:type="dxa"/>
            <w:gridSpan w:val="3"/>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税率（注明税率及是否为增值税专业发票）＊</w:t>
            </w:r>
          </w:p>
        </w:tc>
        <w:tc>
          <w:tcPr>
            <w:tcW w:w="3123"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705"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1</w:t>
            </w:r>
          </w:p>
        </w:tc>
        <w:tc>
          <w:tcPr>
            <w:tcW w:w="1705"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水稳</w:t>
            </w:r>
          </w:p>
        </w:tc>
        <w:tc>
          <w:tcPr>
            <w:tcW w:w="2495"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sz w:val="24"/>
                <w:lang w:eastAsia="zh-CN"/>
              </w:rPr>
              <w:t>参照招标文件</w:t>
            </w:r>
          </w:p>
        </w:tc>
        <w:tc>
          <w:tcPr>
            <w:tcW w:w="1135"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吨</w:t>
            </w:r>
          </w:p>
        </w:tc>
        <w:tc>
          <w:tcPr>
            <w:tcW w:w="1227"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8000</w:t>
            </w:r>
          </w:p>
        </w:tc>
        <w:tc>
          <w:tcPr>
            <w:tcW w:w="1132" w:type="dxa"/>
            <w:vAlign w:val="center"/>
          </w:tcPr>
          <w:p>
            <w:pPr>
              <w:jc w:val="center"/>
              <w:rPr>
                <w:rFonts w:hint="eastAsia" w:ascii="仿宋" w:hAnsi="仿宋" w:eastAsia="仿宋" w:cs="仿宋"/>
                <w:b w:val="0"/>
                <w:bCs w:val="0"/>
                <w:sz w:val="24"/>
              </w:rPr>
            </w:pPr>
          </w:p>
        </w:tc>
        <w:tc>
          <w:tcPr>
            <w:tcW w:w="1677" w:type="dxa"/>
            <w:vAlign w:val="center"/>
          </w:tcPr>
          <w:p>
            <w:pPr>
              <w:jc w:val="center"/>
              <w:rPr>
                <w:rFonts w:hint="eastAsia" w:ascii="仿宋" w:hAnsi="仿宋" w:eastAsia="仿宋" w:cs="仿宋"/>
                <w:b w:val="0"/>
                <w:bCs w:val="0"/>
                <w:sz w:val="24"/>
              </w:rPr>
            </w:pPr>
          </w:p>
        </w:tc>
        <w:tc>
          <w:tcPr>
            <w:tcW w:w="2032" w:type="dxa"/>
            <w:gridSpan w:val="3"/>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13%增值税专票</w:t>
            </w:r>
          </w:p>
        </w:tc>
        <w:tc>
          <w:tcPr>
            <w:tcW w:w="3123" w:type="dxa"/>
            <w:vAlign w:val="center"/>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05"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2</w:t>
            </w:r>
          </w:p>
        </w:tc>
        <w:tc>
          <w:tcPr>
            <w:tcW w:w="1705"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合计＊</w:t>
            </w:r>
          </w:p>
        </w:tc>
        <w:tc>
          <w:tcPr>
            <w:tcW w:w="2495" w:type="dxa"/>
            <w:vAlign w:val="center"/>
          </w:tcPr>
          <w:p>
            <w:pPr>
              <w:jc w:val="center"/>
              <w:rPr>
                <w:rFonts w:hint="eastAsia" w:ascii="仿宋" w:hAnsi="仿宋" w:eastAsia="仿宋" w:cs="仿宋"/>
                <w:b w:val="0"/>
                <w:bCs w:val="0"/>
                <w:sz w:val="24"/>
              </w:rPr>
            </w:pPr>
            <w:bookmarkStart w:id="0" w:name="_GoBack"/>
            <w:bookmarkEnd w:id="0"/>
          </w:p>
        </w:tc>
        <w:tc>
          <w:tcPr>
            <w:tcW w:w="1135" w:type="dxa"/>
            <w:vAlign w:val="center"/>
          </w:tcPr>
          <w:p>
            <w:pPr>
              <w:jc w:val="center"/>
              <w:rPr>
                <w:rFonts w:hint="eastAsia" w:ascii="仿宋" w:hAnsi="仿宋" w:eastAsia="仿宋" w:cs="仿宋"/>
                <w:b w:val="0"/>
                <w:bCs w:val="0"/>
                <w:sz w:val="24"/>
              </w:rPr>
            </w:pPr>
          </w:p>
        </w:tc>
        <w:tc>
          <w:tcPr>
            <w:tcW w:w="1227" w:type="dxa"/>
            <w:gridSpan w:val="2"/>
            <w:vAlign w:val="center"/>
          </w:tcPr>
          <w:p>
            <w:pPr>
              <w:jc w:val="center"/>
              <w:rPr>
                <w:rFonts w:hint="eastAsia" w:ascii="仿宋" w:hAnsi="仿宋" w:eastAsia="仿宋" w:cs="仿宋"/>
                <w:b w:val="0"/>
                <w:bCs w:val="0"/>
                <w:sz w:val="24"/>
              </w:rPr>
            </w:pPr>
          </w:p>
        </w:tc>
        <w:tc>
          <w:tcPr>
            <w:tcW w:w="1132" w:type="dxa"/>
            <w:vAlign w:val="center"/>
          </w:tcPr>
          <w:p>
            <w:pPr>
              <w:jc w:val="center"/>
              <w:rPr>
                <w:rFonts w:hint="eastAsia" w:ascii="仿宋" w:hAnsi="仿宋" w:eastAsia="仿宋" w:cs="仿宋"/>
                <w:b w:val="0"/>
                <w:bCs w:val="0"/>
                <w:sz w:val="24"/>
              </w:rPr>
            </w:pPr>
          </w:p>
        </w:tc>
        <w:tc>
          <w:tcPr>
            <w:tcW w:w="1677" w:type="dxa"/>
            <w:vAlign w:val="center"/>
          </w:tcPr>
          <w:p>
            <w:pPr>
              <w:jc w:val="center"/>
              <w:rPr>
                <w:rFonts w:hint="eastAsia" w:ascii="仿宋" w:hAnsi="仿宋" w:eastAsia="仿宋" w:cs="仿宋"/>
                <w:b w:val="0"/>
                <w:bCs w:val="0"/>
                <w:sz w:val="24"/>
              </w:rPr>
            </w:pPr>
          </w:p>
        </w:tc>
        <w:tc>
          <w:tcPr>
            <w:tcW w:w="2032" w:type="dxa"/>
            <w:gridSpan w:val="3"/>
            <w:vAlign w:val="center"/>
          </w:tcPr>
          <w:p>
            <w:pPr>
              <w:jc w:val="center"/>
              <w:rPr>
                <w:rFonts w:hint="eastAsia" w:ascii="仿宋" w:hAnsi="仿宋" w:eastAsia="仿宋" w:cs="仿宋"/>
                <w:b w:val="0"/>
                <w:bCs w:val="0"/>
                <w:sz w:val="24"/>
              </w:rPr>
            </w:pPr>
          </w:p>
        </w:tc>
        <w:tc>
          <w:tcPr>
            <w:tcW w:w="3123" w:type="dxa"/>
            <w:vAlign w:val="center"/>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15231" w:type="dxa"/>
            <w:gridSpan w:val="12"/>
            <w:vAlign w:val="center"/>
          </w:tcPr>
          <w:p>
            <w:pPr>
              <w:rPr>
                <w:rFonts w:hint="eastAsia" w:ascii="仿宋" w:hAnsi="仿宋" w:eastAsia="仿宋" w:cs="仿宋"/>
                <w:b w:val="0"/>
                <w:bCs w:val="0"/>
                <w:sz w:val="24"/>
              </w:rPr>
            </w:pPr>
            <w:r>
              <w:rPr>
                <w:rFonts w:hint="eastAsia" w:ascii="仿宋" w:hAnsi="仿宋" w:eastAsia="仿宋" w:cs="仿宋"/>
                <w:b w:val="0"/>
                <w:bCs w:val="0"/>
                <w:sz w:val="24"/>
              </w:rPr>
              <w:t>说明：1、此报价表中带 ＊ 号为必填项，投标人的所有报价文件均为加盖单位公章的打印件（签名部分除外）。</w:t>
            </w:r>
          </w:p>
          <w:p>
            <w:pPr>
              <w:ind w:firstLine="720" w:firstLineChars="300"/>
              <w:rPr>
                <w:rFonts w:hint="eastAsia" w:ascii="仿宋" w:hAnsi="仿宋" w:eastAsia="仿宋" w:cs="仿宋"/>
                <w:b w:val="0"/>
                <w:bCs w:val="0"/>
                <w:sz w:val="24"/>
              </w:rPr>
            </w:pPr>
            <w:r>
              <w:rPr>
                <w:rFonts w:hint="eastAsia" w:ascii="仿宋" w:hAnsi="仿宋" w:eastAsia="仿宋" w:cs="仿宋"/>
                <w:b w:val="0"/>
                <w:bCs w:val="0"/>
                <w:sz w:val="24"/>
              </w:rPr>
              <w:t>2、税率栏填写时要具体明确税率及是否为增值税专业发票。</w:t>
            </w:r>
          </w:p>
          <w:p>
            <w:pPr>
              <w:ind w:firstLine="720" w:firstLineChars="300"/>
              <w:rPr>
                <w:rFonts w:hint="eastAsia" w:ascii="仿宋" w:hAnsi="仿宋" w:eastAsia="仿宋" w:cs="仿宋"/>
                <w:b w:val="0"/>
                <w:bCs w:val="0"/>
                <w:sz w:val="24"/>
              </w:rPr>
            </w:pPr>
            <w:r>
              <w:rPr>
                <w:rFonts w:hint="eastAsia" w:ascii="仿宋" w:hAnsi="仿宋" w:eastAsia="仿宋" w:cs="仿宋"/>
                <w:b w:val="0"/>
                <w:bCs w:val="0"/>
                <w:sz w:val="24"/>
              </w:rPr>
              <w:t>3、本次报价数量为项目预估量，具体数量以实际</w:t>
            </w:r>
            <w:r>
              <w:rPr>
                <w:rFonts w:hint="eastAsia" w:ascii="仿宋" w:hAnsi="仿宋" w:eastAsia="仿宋" w:cs="仿宋"/>
                <w:b w:val="0"/>
                <w:bCs w:val="0"/>
                <w:sz w:val="24"/>
                <w:lang w:eastAsia="zh-CN"/>
              </w:rPr>
              <w:t>结算</w:t>
            </w:r>
            <w:r>
              <w:rPr>
                <w:rFonts w:hint="eastAsia" w:ascii="仿宋" w:hAnsi="仿宋" w:eastAsia="仿宋" w:cs="仿宋"/>
                <w:b w:val="0"/>
                <w:bCs w:val="0"/>
                <w:sz w:val="24"/>
              </w:rPr>
              <w:t>量为准。</w:t>
            </w:r>
          </w:p>
          <w:p>
            <w:pPr>
              <w:ind w:firstLine="960" w:firstLineChars="400"/>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7088" w:type="dxa"/>
            <w:gridSpan w:val="5"/>
            <w:vMerge w:val="restart"/>
            <w:vAlign w:val="center"/>
          </w:tcPr>
          <w:p>
            <w:pPr>
              <w:rPr>
                <w:rFonts w:hint="eastAsia" w:ascii="仿宋" w:hAnsi="仿宋" w:eastAsia="仿宋" w:cs="仿宋"/>
                <w:b w:val="0"/>
                <w:bCs w:val="0"/>
                <w:sz w:val="24"/>
              </w:rPr>
            </w:pPr>
            <w:r>
              <w:rPr>
                <w:rFonts w:hint="eastAsia" w:ascii="仿宋" w:hAnsi="仿宋" w:eastAsia="仿宋" w:cs="仿宋"/>
                <w:b w:val="0"/>
                <w:bCs w:val="0"/>
                <w:sz w:val="24"/>
              </w:rPr>
              <w:t>投标单位（公章）</w:t>
            </w:r>
          </w:p>
        </w:tc>
        <w:tc>
          <w:tcPr>
            <w:tcW w:w="3685" w:type="dxa"/>
            <w:gridSpan w:val="4"/>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法定代表人或授权委托人</w:t>
            </w:r>
          </w:p>
        </w:tc>
        <w:tc>
          <w:tcPr>
            <w:tcW w:w="4458" w:type="dxa"/>
            <w:gridSpan w:val="3"/>
            <w:vAlign w:val="center"/>
          </w:tcPr>
          <w:p>
            <w:pP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7088" w:type="dxa"/>
            <w:gridSpan w:val="5"/>
            <w:vMerge w:val="continue"/>
            <w:vAlign w:val="center"/>
          </w:tcPr>
          <w:p>
            <w:pPr>
              <w:rPr>
                <w:rFonts w:hint="eastAsia" w:ascii="仿宋" w:hAnsi="仿宋" w:eastAsia="仿宋" w:cs="仿宋"/>
                <w:b w:val="0"/>
                <w:bCs w:val="0"/>
                <w:sz w:val="24"/>
              </w:rPr>
            </w:pPr>
          </w:p>
        </w:tc>
        <w:tc>
          <w:tcPr>
            <w:tcW w:w="3685" w:type="dxa"/>
            <w:gridSpan w:val="4"/>
            <w:vMerge w:val="restart"/>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联系方式</w:t>
            </w:r>
          </w:p>
        </w:tc>
        <w:tc>
          <w:tcPr>
            <w:tcW w:w="1103"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电话</w:t>
            </w:r>
          </w:p>
        </w:tc>
        <w:tc>
          <w:tcPr>
            <w:tcW w:w="3355" w:type="dxa"/>
            <w:gridSpan w:val="2"/>
            <w:vAlign w:val="center"/>
          </w:tcPr>
          <w:p>
            <w:pP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088" w:type="dxa"/>
            <w:gridSpan w:val="5"/>
            <w:vMerge w:val="continue"/>
            <w:vAlign w:val="center"/>
          </w:tcPr>
          <w:p>
            <w:pPr>
              <w:rPr>
                <w:rFonts w:hint="eastAsia" w:ascii="仿宋" w:hAnsi="仿宋" w:eastAsia="仿宋" w:cs="仿宋"/>
                <w:b w:val="0"/>
                <w:bCs w:val="0"/>
                <w:sz w:val="24"/>
              </w:rPr>
            </w:pPr>
          </w:p>
        </w:tc>
        <w:tc>
          <w:tcPr>
            <w:tcW w:w="3685" w:type="dxa"/>
            <w:gridSpan w:val="4"/>
            <w:vMerge w:val="continue"/>
            <w:vAlign w:val="center"/>
          </w:tcPr>
          <w:p>
            <w:pPr>
              <w:jc w:val="center"/>
              <w:rPr>
                <w:rFonts w:hint="eastAsia" w:ascii="仿宋" w:hAnsi="仿宋" w:eastAsia="仿宋" w:cs="仿宋"/>
                <w:b w:val="0"/>
                <w:bCs w:val="0"/>
                <w:sz w:val="24"/>
              </w:rPr>
            </w:pPr>
          </w:p>
        </w:tc>
        <w:tc>
          <w:tcPr>
            <w:tcW w:w="1103"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邮箱</w:t>
            </w:r>
          </w:p>
        </w:tc>
        <w:tc>
          <w:tcPr>
            <w:tcW w:w="3355" w:type="dxa"/>
            <w:gridSpan w:val="2"/>
            <w:vAlign w:val="center"/>
          </w:tcPr>
          <w:p>
            <w:pPr>
              <w:rPr>
                <w:rFonts w:hint="eastAsia" w:ascii="仿宋" w:hAnsi="仿宋" w:eastAsia="仿宋" w:cs="仿宋"/>
                <w:b w:val="0"/>
                <w:bCs w:val="0"/>
                <w:sz w:val="24"/>
              </w:rPr>
            </w:pPr>
          </w:p>
        </w:tc>
      </w:tr>
    </w:tbl>
    <w:p>
      <w:pPr>
        <w:spacing w:line="400" w:lineRule="exact"/>
        <w:rPr>
          <w:rFonts w:hint="eastAsia" w:ascii="仿宋" w:hAnsi="仿宋" w:eastAsia="仿宋"/>
          <w:b/>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C6241B2"/>
    <w:rsid w:val="0CA911C7"/>
    <w:rsid w:val="0D2B4E23"/>
    <w:rsid w:val="0E2061B7"/>
    <w:rsid w:val="0E876D2F"/>
    <w:rsid w:val="0EC82FD7"/>
    <w:rsid w:val="0F3A3B23"/>
    <w:rsid w:val="0FB34554"/>
    <w:rsid w:val="10181623"/>
    <w:rsid w:val="107E735A"/>
    <w:rsid w:val="12A820AD"/>
    <w:rsid w:val="15737884"/>
    <w:rsid w:val="17D86D23"/>
    <w:rsid w:val="17F4775E"/>
    <w:rsid w:val="18AF15FD"/>
    <w:rsid w:val="19E61B84"/>
    <w:rsid w:val="19E94006"/>
    <w:rsid w:val="1BBF797C"/>
    <w:rsid w:val="1CCF3519"/>
    <w:rsid w:val="1DE26149"/>
    <w:rsid w:val="1DEE2CCA"/>
    <w:rsid w:val="1EB92EF2"/>
    <w:rsid w:val="2037683E"/>
    <w:rsid w:val="20637B7A"/>
    <w:rsid w:val="21A61884"/>
    <w:rsid w:val="221D09FC"/>
    <w:rsid w:val="22F91AE6"/>
    <w:rsid w:val="23F51167"/>
    <w:rsid w:val="24453334"/>
    <w:rsid w:val="25590EC9"/>
    <w:rsid w:val="257F4BF0"/>
    <w:rsid w:val="25A13254"/>
    <w:rsid w:val="2601699D"/>
    <w:rsid w:val="262F357C"/>
    <w:rsid w:val="26A26CEB"/>
    <w:rsid w:val="27235E7D"/>
    <w:rsid w:val="27320CB0"/>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B7EFB"/>
    <w:rsid w:val="5EE27322"/>
    <w:rsid w:val="60F035C2"/>
    <w:rsid w:val="61963037"/>
    <w:rsid w:val="62B319D5"/>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20"/>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 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 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 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 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 Char Char"/>
    <w:qFormat/>
    <w:uiPriority w:val="0"/>
    <w:rPr>
      <w:rFonts w:ascii="Arial" w:hAnsi="Arial" w:eastAsia="黑体"/>
      <w:b/>
      <w:bCs/>
      <w:kern w:val="2"/>
      <w:sz w:val="32"/>
      <w:szCs w:val="32"/>
      <w:lang w:val="en-US" w:eastAsia="zh-CN" w:bidi="ar-SA"/>
    </w:rPr>
  </w:style>
  <w:style w:type="character" w:customStyle="1" w:styleId="123">
    <w:name w:val=" 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 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 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 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2023-07-10T08:12:12Z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