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第二事业部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eastAsia="zh-CN"/>
        </w:rPr>
        <w:t>铜山金磊项目商品混凝土</w:t>
      </w:r>
      <w:r>
        <w:rPr>
          <w:rFonts w:hint="eastAsia" w:ascii="仿宋" w:hAnsi="仿宋" w:eastAsia="仿宋" w:cs="仿宋"/>
          <w:b/>
          <w:bCs/>
          <w:kern w:val="1"/>
          <w:sz w:val="44"/>
          <w:szCs w:val="44"/>
          <w:u w:val="single"/>
        </w:rPr>
        <w:t>Ⅱ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二次挂网</w:t>
      </w:r>
      <w:r>
        <w:rPr>
          <w:rFonts w:hint="eastAsia" w:ascii="宋体" w:hAnsi="宋体" w:eastAsia="宋体" w:cs="宋体"/>
          <w:b/>
          <w:sz w:val="44"/>
          <w:szCs w:val="44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default" w:ascii="仿宋" w:hAnsi="仿宋" w:eastAsia="仿宋" w:cs="仿宋_GB2312"/>
          <w:b/>
          <w:bCs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TGJA-WZ-202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3105-2</w:t>
      </w:r>
    </w:p>
    <w:p>
      <w:pPr>
        <w:rPr>
          <w:rFonts w:ascii="仿宋" w:hAnsi="仿宋" w:eastAsia="仿宋" w:cs="仿宋_GB2312"/>
          <w:b/>
          <w:bCs/>
          <w:sz w:val="32"/>
          <w:szCs w:val="32"/>
          <w:highlight w:val="cyan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21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叶明陵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13865621916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）、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任凡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27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3、投标文件递交地点：铜陵有色金属集团铜冠建筑安装股份有限公司审计监察室（</w:t>
      </w:r>
      <w:r>
        <w:rPr>
          <w:rFonts w:hint="eastAsia" w:ascii="仿宋" w:hAnsi="仿宋" w:eastAsia="仿宋" w:cs="仿宋_GB2312"/>
          <w:sz w:val="28"/>
          <w:szCs w:val="28"/>
        </w:rPr>
        <w:t>黄山大道南段879号主楼四楼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27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7、签订合同时间：另行通知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：详见报价单。</w:t>
      </w: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黄山大道南段879号主楼四楼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）也可通过网络形式报名，将相关资料通过网络发给报名联系人。</w:t>
      </w:r>
    </w:p>
    <w:p>
      <w:pPr>
        <w:ind w:firstLine="560" w:firstLineChars="200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叶明陵（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13865621916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）、任凡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六、保证金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1、为严肃和规范投标行为，确保投标的顺利以及中标后合同的有效执行，投标人须向招标人缴纳投标保证金，本次需缴纳投标保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证金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u w:val="single"/>
          <w:lang w:eastAsia="zh-CN"/>
        </w:rPr>
        <w:t>肆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u w:val="single"/>
        </w:rPr>
        <w:t>万元整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；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文件内附汇款凭证复印件。如投标人在铜冠建安公司（含各分子公司）有超过投标保证金数额的应收欠款，可以出具承诺书的方式将足额应收欠款转为投标保证金，承诺书作为投标资料的一部分，并附铜冠建安公司（含各分子公司）财务出具的加盖财务专用章的应收欠款证明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无投标保证金或未出具投标保证金承诺书视为无效投标。</w:t>
      </w:r>
      <w:r>
        <w:rPr>
          <w:rFonts w:hint="eastAsia" w:ascii="仿宋" w:hAnsi="仿宋" w:eastAsia="仿宋" w:cs="仿宋_GB2312"/>
          <w:sz w:val="28"/>
          <w:szCs w:val="28"/>
        </w:rPr>
        <w:t>投标保证金须对公账户转账，不接受个人账户转账，同时要求注明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铜陵铜冠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建安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公司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第二事业部铜山金磊商品混凝土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材料TGJA-WZ-202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val="en-US" w:eastAsia="zh-CN"/>
        </w:rPr>
        <w:t>3105-2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投标保证金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 xml:space="preserve">2、下列任何情况发生时，投标保证金将被不予退还：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（1）投标人在投标截止后至投标有效期内撤回投标文件的；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（2）中标人未能在规定期限内按照招标文件签订合同协议；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（3）签署合同后，未能在规定的时间内提供履约保证金；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（4）投标人在招标中存在违规和违法行为的。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（5）中标人因自身原因放弃中标资格的。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3、在签订合同前，中标人须交纳履约保证金。履约保证金金额为中标合同总金额的 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10% 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如中标人在铜冠建安公司（含各分子公司）有超过履约保证金数额的应收欠款，可以出具承诺书的方式承诺将足额欠款转为履约保证金，并附铜冠建安公司（含各分子公司）财务出具加盖财务专用章的应收欠款证明。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或以货款抵扣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4、招标人与中标人签订合同后</w:t>
      </w: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>7</w:t>
      </w:r>
      <w:r>
        <w:rPr>
          <w:rFonts w:hint="eastAsia" w:ascii="仿宋" w:hAnsi="仿宋" w:eastAsia="仿宋" w:cs="仿宋_GB2312"/>
          <w:sz w:val="28"/>
          <w:szCs w:val="28"/>
        </w:rPr>
        <w:t>日内，向未中标的投标人退还投标保证金（无息），中标人在签订合同并交纳履约保证金后退还投标保证金（无息）。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5、公司对公账户信息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账户名称：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铜陵有色金属集团铜冠建筑安装股份有限公司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    号：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1308024009200056147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开 户 行：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工行铜陵铜都支行</w:t>
      </w: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 xml:space="preserve"> </w:t>
      </w: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  <w:lang w:eastAsia="zh-CN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  <w:lang w:eastAsia="zh-CN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  <w:lang w:eastAsia="zh-CN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  <w:lang w:eastAsia="zh-CN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七、</w:t>
      </w:r>
      <w:r>
        <w:rPr>
          <w:rFonts w:hint="eastAsia" w:ascii="仿宋" w:hAnsi="仿宋" w:eastAsia="仿宋" w:cs="仿宋_GB2312"/>
          <w:b/>
          <w:sz w:val="36"/>
          <w:szCs w:val="36"/>
        </w:rPr>
        <w:t>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2、投标文件递交地点：铜陵有色金属集团铜冠建筑安装股份有限公司经营部（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黄山大道南段879号主楼四楼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八</w:t>
      </w:r>
      <w:r>
        <w:rPr>
          <w:rFonts w:hint="eastAsia" w:ascii="仿宋" w:hAnsi="仿宋" w:eastAsia="仿宋" w:cs="仿宋_GB2312"/>
          <w:b/>
          <w:sz w:val="36"/>
          <w:szCs w:val="36"/>
        </w:rPr>
        <w:t>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spacing w:line="560" w:lineRule="exact"/>
        <w:ind w:firstLine="638" w:firstLineChars="228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材料质量要求：符合</w:t>
      </w:r>
      <w:r>
        <w:rPr>
          <w:rFonts w:ascii="仿宋" w:hAnsi="仿宋" w:eastAsia="仿宋" w:cs="仿宋_GB2312"/>
          <w:sz w:val="28"/>
          <w:szCs w:val="28"/>
          <w:u w:val="single"/>
        </w:rPr>
        <w:t>《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预拌混凝土</w:t>
      </w:r>
      <w:r>
        <w:rPr>
          <w:rFonts w:ascii="仿宋" w:hAnsi="仿宋" w:eastAsia="仿宋" w:cs="仿宋_GB2312"/>
          <w:sz w:val="28"/>
          <w:szCs w:val="28"/>
          <w:u w:val="single"/>
        </w:rPr>
        <w:t>》GB/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T1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902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-201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投标人如若中标，提供的所有材料必须符合技术指标要求，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以招标人抽样检验为准。所供材料如未达到技术指标要求，中标人应立即停供。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（3）若达不到招标人要求的，中标人无条件将该批货物拉回且不计货款，动用招标人机械的收取相应费用。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（4）按招标人提供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计划</w:t>
      </w:r>
      <w:r>
        <w:rPr>
          <w:rFonts w:hint="eastAsia" w:ascii="仿宋" w:hAnsi="仿宋" w:eastAsia="仿宋" w:cs="仿宋_GB2312"/>
          <w:sz w:val="28"/>
          <w:szCs w:val="28"/>
        </w:rPr>
        <w:t>生产，分批发货；每批发货前，招标人提前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</w:rPr>
        <w:t>天通知具体发货明细。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因材料产品质量不合格所造成的相关质量问题，没收中标人履约保证金，同时对相关质量问题所引发的返工、耽误工期、对业主单位的生产影响等所有相关损失，中标人承担相应责任。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2、付款方式</w:t>
      </w:r>
    </w:p>
    <w:p>
      <w:pPr>
        <w:spacing w:line="560" w:lineRule="exact"/>
        <w:ind w:firstLine="638" w:firstLineChars="228"/>
        <w:rPr>
          <w:rFonts w:ascii="仿宋_GB2312" w:hAnsi="仿宋_GB2312" w:eastAsia="仿宋_GB2312" w:cs="仿宋_GB2312"/>
          <w:sz w:val="28"/>
          <w:szCs w:val="28"/>
          <w:highlight w:val="green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根据到货情况，货到验收合格后开具发票，入账次月支付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0%，春节前支付至80%，剩余20%该春节后两年内付清。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货款以对公转账方式支付至供方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eastAsia="zh-CN"/>
        </w:rPr>
        <w:t>对公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账户，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eastAsia="zh-CN"/>
        </w:rPr>
        <w:t>支付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电汇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eastAsia="zh-CN"/>
        </w:rPr>
        <w:t>或不超过合同总金额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>50%的6个月内银行电子承兑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。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相关要求</w:t>
      </w:r>
    </w:p>
    <w:p>
      <w:pPr>
        <w:ind w:firstLine="638" w:firstLineChars="228"/>
        <w:rPr>
          <w:rFonts w:ascii="仿宋" w:hAnsi="仿宋" w:eastAsia="仿宋" w:cs="仿宋_GB2312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（1）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u w:val="single"/>
        </w:rPr>
        <w:t>本次报价按池州市贵池区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u w:val="single"/>
          <w:lang w:eastAsia="zh-CN"/>
        </w:rPr>
        <w:t>当月含税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u w:val="single"/>
        </w:rPr>
        <w:t>信息价下浮百分数。</w:t>
      </w:r>
    </w:p>
    <w:p>
      <w:pPr>
        <w:ind w:firstLine="638" w:firstLineChars="228"/>
        <w:rPr>
          <w:rFonts w:ascii="仿宋" w:hAnsi="仿宋" w:eastAsia="仿宋" w:cs="仿宋_GB2312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（2）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u w:val="single"/>
        </w:rPr>
        <w:t>报价为含税（税率必须注明）、含运费价。</w:t>
      </w:r>
    </w:p>
    <w:p>
      <w:pPr>
        <w:ind w:firstLine="638" w:firstLineChars="228"/>
        <w:rPr>
          <w:rFonts w:ascii="仿宋" w:hAnsi="仿宋" w:eastAsia="仿宋" w:cs="仿宋_GB2312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（3）各投标单位在投标报价前应仔细审阅招标公告、报价表及报价说明等与此次报价相关的所有资料。报价要谨慎，一旦中标，视为理解并考虑了我公司一切要求的报价，不得以任何理由变更。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560" w:firstLineChars="200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（1）投标人法定代表人应</w:t>
      </w:r>
      <w:r>
        <w:rPr>
          <w:rFonts w:hint="eastAsia" w:ascii="仿宋" w:hAnsi="仿宋" w:eastAsia="仿宋" w:cs="仿宋"/>
          <w:sz w:val="28"/>
          <w:szCs w:val="28"/>
        </w:rPr>
        <w:t>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、收货人</w:t>
      </w:r>
    </w:p>
    <w:p>
      <w:pPr>
        <w:ind w:firstLine="638" w:firstLineChars="228"/>
        <w:rPr>
          <w:rFonts w:hint="default" w:ascii="仿宋" w:hAnsi="仿宋" w:eastAsia="仿宋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材料送至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铜山金磊项目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施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工现场。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收货人：夏光慧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13865624489。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spacing w:line="312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招标人每批次需用混凝土时,必须提前一天用书面订单、传真或电话通知中标人，日所需混凝土总量超过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500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m³</w:t>
      </w:r>
      <w:r>
        <w:rPr>
          <w:rFonts w:hint="eastAsia" w:ascii="仿宋" w:hAnsi="仿宋" w:eastAsia="仿宋" w:cs="仿宋"/>
          <w:sz w:val="28"/>
          <w:szCs w:val="28"/>
          <w:u w:val="single"/>
        </w:rPr>
        <w:t>时,须提前二天通知中标人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应根据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的通知要求，及时安排生产和发货，并应保证混凝土运输的连续性。如遇特殊原因，预计无法按照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要求供货时，必须在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供货通知发出后2小时内通知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，在征得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同意后可暂停供货。如未征得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同意，即视为延期交货。每延期交货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半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天，按照延误情况的轻重，对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处以2000-5000元的罚款，累计计算。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发现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供货数量不足或提供不合格产品，均视同延期交货。对发生两次延期交货的，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有权自行安排其他供应商供货，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不得以任何理由阻拦或变相阻拦。因以上原因给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造成的质量问题、工期延误、差价等情况（包括但不限于以上情况），同时，包括外协和分包误工费、业主及监理等有关部门对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的罚款等（包括但不限于以上情况）的所有损失均由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承担。延期超过7天的，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有权单方面解除合同。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>每批次实际需用量多于或少于预订数量的，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招标人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>应在本批次混凝土浇筑结束前2小时通知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中标人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中标人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>在收到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招标人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>通知后，应及时调整发货数量，以免造成双方损失。如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招标人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>实际用量多于预订数量，又未及时通知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中标人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中标人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>不承担因此无法保证预拌混凝土运输连续性所导致的一切后果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>每次供货超50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m³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限补方一次，如需第二次补方应支付运输车辆空置燃油费，按1元/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m³</w:t>
      </w:r>
      <w:r>
        <w:rPr>
          <w:rFonts w:hint="eastAsia" w:ascii="仿宋" w:hAnsi="仿宋" w:eastAsia="仿宋" w:cs="仿宋"/>
          <w:sz w:val="28"/>
          <w:szCs w:val="28"/>
          <w:u w:val="single"/>
        </w:rPr>
        <w:t>.km计算；不足50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m³</w:t>
      </w:r>
      <w:r>
        <w:rPr>
          <w:rFonts w:hint="eastAsia" w:ascii="仿宋" w:hAnsi="仿宋" w:eastAsia="仿宋" w:cs="仿宋"/>
          <w:sz w:val="28"/>
          <w:szCs w:val="28"/>
          <w:u w:val="single"/>
        </w:rPr>
        <w:t>供货量的每月累计不得超过2次，超出的次数按500元/次收取出泵费。招标人按送货方单进行验收，并有权随时抽查,如抽查结果在负差3％以内的，属允许负差;如抽查结果在负差3%以上的，则当日所供所有混凝土按抽查最大负差百分比扣除结算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。如当月数量抽查负差3％以上达三次的（含三次），招标人将按当月所供货物总金额的10%进行罚款并按抽查最大负差百分百比扣除结算当月混凝土数量，同时有权解除合同。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>招标人保留对已浇铸完工混凝土构件方量进行复核的权利，如偏差大于5%，双方需进行复核。如确定为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中标人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>责任，则扣除超出部分的方量。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对施工浇筑过程中混凝士的跑模、涨模、尾车中所要混凝土数量不准所造成</w:t>
      </w:r>
      <w:r>
        <w:rPr>
          <w:rFonts w:hint="eastAsia" w:ascii="仿宋" w:hAnsi="仿宋" w:eastAsia="仿宋" w:cs="仿宋"/>
          <w:sz w:val="28"/>
          <w:szCs w:val="28"/>
          <w:u w:val="single"/>
        </w:rPr>
        <w:t>的损失应由招标人承担。招标人在《订货单》中需写明工程名称、浇筑时间、浇筑部位、混凝土强度等级、坍落度要求、数量及其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它特殊技术要求,以便中标人及时备料安排生产和安排运输设备。</w:t>
      </w: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九、</w:t>
      </w:r>
      <w:r>
        <w:rPr>
          <w:rFonts w:hint="eastAsia" w:ascii="仿宋" w:hAnsi="仿宋" w:eastAsia="仿宋" w:cs="仿宋_GB2312"/>
          <w:b/>
          <w:sz w:val="36"/>
          <w:szCs w:val="36"/>
        </w:rPr>
        <w:t>评标及中标履约要求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6、招标人和中标人应当自中标通知书发出之日起七日内，按照招标文件和中标人的投标文件订立书面合同，招标人和中标人不得再行订立背离本次招标实质性内容的其他协议。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numPr>
          <w:ilvl w:val="0"/>
          <w:numId w:val="0"/>
        </w:num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十、</w:t>
      </w:r>
      <w:r>
        <w:rPr>
          <w:rFonts w:hint="eastAsia" w:ascii="仿宋" w:hAnsi="仿宋" w:eastAsia="仿宋" w:cs="仿宋_GB2312"/>
          <w:b/>
          <w:sz w:val="36"/>
          <w:szCs w:val="36"/>
        </w:rPr>
        <w:t>纪律和监督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_GB2312"/>
          <w:b/>
          <w:sz w:val="36"/>
          <w:szCs w:val="36"/>
        </w:rPr>
        <w:t>、法定代表人授权书</w:t>
      </w:r>
    </w:p>
    <w:p>
      <w:pPr>
        <w:pStyle w:val="20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二</w:t>
      </w:r>
      <w:r>
        <w:rPr>
          <w:rFonts w:hint="eastAsia" w:ascii="仿宋" w:hAnsi="仿宋" w:eastAsia="仿宋" w:cs="仿宋_GB2312"/>
          <w:b/>
          <w:sz w:val="36"/>
          <w:szCs w:val="36"/>
        </w:rPr>
        <w:t>、投标廉洁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承诺方签字:</w:t>
      </w:r>
      <w:r>
        <w:rPr>
          <w:rFonts w:hint="eastAsia" w:ascii="仿宋" w:hAnsi="仿宋" w:eastAsia="仿宋" w:cs="仿宋_GB2312"/>
          <w:sz w:val="28"/>
          <w:szCs w:val="28"/>
        </w:rPr>
        <w:t>_________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单位盖章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ascii="仿宋_GB2312" w:hAnsi="宋体" w:eastAsia="仿宋_GB2312" w:cs="仿宋_GB2312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日期：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三</w:t>
      </w:r>
      <w:r>
        <w:rPr>
          <w:rFonts w:hint="eastAsia" w:ascii="仿宋" w:hAnsi="仿宋" w:eastAsia="仿宋" w:cs="仿宋_GB2312"/>
          <w:b/>
          <w:sz w:val="36"/>
          <w:szCs w:val="36"/>
        </w:rPr>
        <w:t>、报价单</w:t>
      </w:r>
    </w:p>
    <w:p>
      <w:pPr>
        <w:rPr>
          <w:rFonts w:hint="default" w:ascii="仿宋_GB2312" w:eastAsia="仿宋_GB2312"/>
          <w:b/>
          <w:i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报价单 TGJA-WZ-202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3105-2</w:t>
      </w:r>
    </w:p>
    <w:tbl>
      <w:tblPr>
        <w:tblStyle w:val="54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2809"/>
        <w:gridCol w:w="697"/>
        <w:gridCol w:w="1103"/>
        <w:gridCol w:w="859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报价（按池州市贵池区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含税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信息价下浮百分数）＊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预拌混凝土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C15/C20/C25/C30/C35/C40(泵送)等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m3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6000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9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抗渗P8、P6、抗折、早强、缓凝、膨胀、细石等另行说明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1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说明：1、此报价表中带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＊ </w:t>
            </w:r>
            <w:r>
              <w:rPr>
                <w:rFonts w:hint="eastAsia" w:ascii="仿宋_GB2312" w:eastAsia="仿宋_GB2312"/>
                <w:sz w:val="24"/>
              </w:rPr>
              <w:t>号为必填项，投标人的所有报价文件均为加盖单位公章的打印件（签名部分除外）。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2、税率栏填写时要具体明确税率及是否为增值税专用发票。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3、报价均为含税（税率必须注明）、含运费价，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含运费、含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  <w:t>装卸一票制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4、本次招标量为本批次供应量，招标数量可能与实际需求量存在偏差。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sectPr>
      <w:headerReference r:id="rId5" w:type="default"/>
      <w:footerReference r:id="rId6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right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1"/>
                            <w:rPr>
                              <w:rStyle w:val="4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4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UJkl07IB&#10;AABO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1"/>
                      <w:rPr>
                        <w:rStyle w:val="48"/>
                      </w:rPr>
                    </w:pPr>
                    <w:r>
                      <w:fldChar w:fldCharType="begin"/>
                    </w:r>
                    <w:r>
                      <w:rPr>
                        <w:rStyle w:val="4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4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jc w:val="center"/>
    </w:pPr>
  </w:p>
  <w:p>
    <w:pPr>
      <w:pStyle w:val="3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2BCE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1200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5862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0B2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C634E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240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48A48C3"/>
    <w:rsid w:val="05BF33B5"/>
    <w:rsid w:val="071C395D"/>
    <w:rsid w:val="0A5C7401"/>
    <w:rsid w:val="0A884E47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A13D65"/>
    <w:rsid w:val="12A820AD"/>
    <w:rsid w:val="1423718A"/>
    <w:rsid w:val="148531F5"/>
    <w:rsid w:val="148F6EC5"/>
    <w:rsid w:val="17D86D23"/>
    <w:rsid w:val="18AF15FD"/>
    <w:rsid w:val="1A943009"/>
    <w:rsid w:val="1B33713D"/>
    <w:rsid w:val="1B59783C"/>
    <w:rsid w:val="1BBF797C"/>
    <w:rsid w:val="1DE32FF0"/>
    <w:rsid w:val="1DEE2CCA"/>
    <w:rsid w:val="2037683E"/>
    <w:rsid w:val="21A715C9"/>
    <w:rsid w:val="223E7710"/>
    <w:rsid w:val="23983135"/>
    <w:rsid w:val="23E90160"/>
    <w:rsid w:val="25590EC9"/>
    <w:rsid w:val="26224809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2ECA304F"/>
    <w:rsid w:val="302E3043"/>
    <w:rsid w:val="30D974B7"/>
    <w:rsid w:val="31D7157D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C5B75D3"/>
    <w:rsid w:val="3C7823C8"/>
    <w:rsid w:val="3DBC2399"/>
    <w:rsid w:val="3DCC4487"/>
    <w:rsid w:val="3E474521"/>
    <w:rsid w:val="3EB10A10"/>
    <w:rsid w:val="3EC82979"/>
    <w:rsid w:val="41B46B47"/>
    <w:rsid w:val="424B79E0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3DE502C"/>
    <w:rsid w:val="554830C1"/>
    <w:rsid w:val="56B4262E"/>
    <w:rsid w:val="576F2EA8"/>
    <w:rsid w:val="5807041D"/>
    <w:rsid w:val="583F79D3"/>
    <w:rsid w:val="58691989"/>
    <w:rsid w:val="58F960F8"/>
    <w:rsid w:val="599F0979"/>
    <w:rsid w:val="5B5B72F0"/>
    <w:rsid w:val="5C1E1084"/>
    <w:rsid w:val="5C805F73"/>
    <w:rsid w:val="5EE01EF7"/>
    <w:rsid w:val="60F035C2"/>
    <w:rsid w:val="62274C0B"/>
    <w:rsid w:val="63E45615"/>
    <w:rsid w:val="644A2A1E"/>
    <w:rsid w:val="659A64CD"/>
    <w:rsid w:val="670209AB"/>
    <w:rsid w:val="681960ED"/>
    <w:rsid w:val="69AD4D95"/>
    <w:rsid w:val="69B54174"/>
    <w:rsid w:val="6A315ABB"/>
    <w:rsid w:val="6A660AE8"/>
    <w:rsid w:val="6A87598F"/>
    <w:rsid w:val="6C55155E"/>
    <w:rsid w:val="6E1906F3"/>
    <w:rsid w:val="703849D5"/>
    <w:rsid w:val="711712EF"/>
    <w:rsid w:val="71F33817"/>
    <w:rsid w:val="74424C37"/>
    <w:rsid w:val="74B57A97"/>
    <w:rsid w:val="77C81C4C"/>
    <w:rsid w:val="793439F5"/>
    <w:rsid w:val="796E3D99"/>
    <w:rsid w:val="79ED6ADC"/>
    <w:rsid w:val="7A5A739A"/>
    <w:rsid w:val="7B8D7C88"/>
    <w:rsid w:val="7C252C88"/>
    <w:rsid w:val="7DA9224E"/>
    <w:rsid w:val="7E49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5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qFormat/>
    <w:uiPriority w:val="0"/>
    <w:rPr>
      <w:b/>
      <w:bCs/>
    </w:rPr>
  </w:style>
  <w:style w:type="paragraph" w:styleId="12">
    <w:name w:val="annotation text"/>
    <w:basedOn w:val="1"/>
    <w:link w:val="71"/>
    <w:qFormat/>
    <w:uiPriority w:val="0"/>
    <w:pPr>
      <w:jc w:val="left"/>
    </w:p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Normal Indent"/>
    <w:basedOn w:val="1"/>
    <w:link w:val="91"/>
    <w:qFormat/>
    <w:uiPriority w:val="0"/>
    <w:pPr>
      <w:ind w:firstLine="420" w:firstLineChars="200"/>
    </w:p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6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7">
    <w:name w:val="Document Map"/>
    <w:basedOn w:val="1"/>
    <w:link w:val="76"/>
    <w:qFormat/>
    <w:uiPriority w:val="0"/>
    <w:pPr>
      <w:shd w:val="clear" w:color="auto" w:fill="000080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20"/>
    <w:next w:val="20"/>
    <w:link w:val="90"/>
    <w:qFormat/>
    <w:uiPriority w:val="0"/>
    <w:pPr>
      <w:spacing w:after="12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1">
    <w:name w:val="Body Text Indent"/>
    <w:basedOn w:val="1"/>
    <w:qFormat/>
    <w:uiPriority w:val="0"/>
    <w:pPr>
      <w:spacing w:after="120"/>
      <w:ind w:left="420" w:leftChars="200"/>
    </w:pPr>
  </w:style>
  <w:style w:type="paragraph" w:styleId="22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3">
    <w:name w:val="index 4"/>
    <w:basedOn w:val="1"/>
    <w:next w:val="1"/>
    <w:qFormat/>
    <w:uiPriority w:val="0"/>
    <w:pPr>
      <w:ind w:left="600" w:leftChars="600"/>
    </w:pPr>
  </w:style>
  <w:style w:type="paragraph" w:styleId="2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5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6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7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8">
    <w:name w:val="Date"/>
    <w:basedOn w:val="1"/>
    <w:next w:val="1"/>
    <w:qFormat/>
    <w:uiPriority w:val="0"/>
    <w:rPr>
      <w:sz w:val="24"/>
      <w:szCs w:val="20"/>
    </w:rPr>
  </w:style>
  <w:style w:type="paragraph" w:styleId="2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0">
    <w:name w:val="Balloon Text"/>
    <w:basedOn w:val="1"/>
    <w:qFormat/>
    <w:uiPriority w:val="0"/>
    <w:rPr>
      <w:sz w:val="18"/>
      <w:szCs w:val="18"/>
    </w:rPr>
  </w:style>
  <w:style w:type="paragraph" w:styleId="3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5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6">
    <w:name w:val="footnote text"/>
    <w:basedOn w:val="1"/>
    <w:qFormat/>
    <w:uiPriority w:val="0"/>
    <w:rPr>
      <w:sz w:val="20"/>
      <w:szCs w:val="20"/>
    </w:rPr>
  </w:style>
  <w:style w:type="paragraph" w:styleId="37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1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4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5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47">
    <w:name w:val="Strong"/>
    <w:qFormat/>
    <w:uiPriority w:val="22"/>
    <w:rPr>
      <w:b/>
      <w:bCs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000000"/>
      <w:u w:val="non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0"/>
    <w:rPr>
      <w:color w:val="000000"/>
      <w:u w:val="none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footnote reference"/>
    <w:qFormat/>
    <w:uiPriority w:val="0"/>
    <w:rPr>
      <w:vertAlign w:val="superscript"/>
    </w:rPr>
  </w:style>
  <w:style w:type="table" w:styleId="55">
    <w:name w:val="Table Grid"/>
    <w:basedOn w:val="5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3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5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6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6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6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1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6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6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6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14</Pages>
  <Words>3828</Words>
  <Characters>4363</Characters>
  <Lines>33</Lines>
  <Paragraphs>9</Paragraphs>
  <TotalTime>2</TotalTime>
  <ScaleCrop>false</ScaleCrop>
  <LinksUpToDate>false</LinksUpToDate>
  <CharactersWithSpaces>4459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2022-10-25T11:25:00Z</dcterms:created>
  <dc:creator>e510</dc:creator>
  <cp:lastModifiedBy>Administrator</cp:lastModifiedBy>
  <cp:lastPrinted>2019-05-06T09:43:00Z</cp:lastPrinted>
  <dcterms:modified xsi:type="dcterms:W3CDTF">2023-07-21T07:28:38Z</dcterms:modified>
  <dc:title>中华人民共和国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A613DD1B75C44F42BCCFD94376B39B69</vt:lpwstr>
  </property>
</Properties>
</file>