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管桩</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3121</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8</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_GB2312"/>
          <w:sz w:val="28"/>
          <w:szCs w:val="28"/>
        </w:rPr>
        <w:t>1、</w:t>
      </w:r>
      <w:r>
        <w:rPr>
          <w:rFonts w:hint="eastAsia" w:ascii="仿宋" w:hAnsi="仿宋" w:eastAsia="仿宋" w:cs="仿宋"/>
          <w:sz w:val="28"/>
          <w:szCs w:val="28"/>
        </w:rPr>
        <w:t>招标公告发布日期：</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日</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2、投标截止时间：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17</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3、投标文件递交地点：铜陵有色金属集团铜冠建筑安装股份有限公司</w:t>
      </w:r>
      <w:r>
        <w:rPr>
          <w:rFonts w:hint="eastAsia" w:ascii="仿宋" w:hAnsi="仿宋" w:eastAsia="仿宋" w:cs="仿宋"/>
          <w:sz w:val="28"/>
          <w:szCs w:val="28"/>
          <w:lang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5、开标时间：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17</w:t>
      </w:r>
      <w:r>
        <w:rPr>
          <w:rFonts w:hint="eastAsia" w:ascii="仿宋" w:hAnsi="仿宋" w:eastAsia="仿宋" w:cs="仿宋"/>
          <w:sz w:val="28"/>
          <w:szCs w:val="28"/>
          <w:u w:val="single"/>
        </w:rPr>
        <w:t>日9:00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6、发中标通知书时间：另行通知</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val="en-US" w:eastAsia="zh-CN"/>
        </w:rPr>
        <w:t>详见报价单</w:t>
      </w:r>
      <w:r>
        <w:rPr>
          <w:rFonts w:hint="eastAsia" w:ascii="仿宋" w:hAnsi="仿宋" w:eastAsia="仿宋" w:cs="仿宋_GB2312"/>
          <w:spacing w:val="-23"/>
          <w:sz w:val="28"/>
          <w:szCs w:val="28"/>
          <w:u w:val="single"/>
        </w:rPr>
        <w:t>。</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16</w:t>
      </w:r>
      <w:r>
        <w:rPr>
          <w:rFonts w:hint="eastAsia" w:ascii="仿宋" w:hAnsi="仿宋" w:eastAsia="仿宋" w:cs="仿宋"/>
          <w:sz w:val="28"/>
          <w:szCs w:val="28"/>
          <w:u w:val="single"/>
        </w:rPr>
        <w:t>日</w:t>
      </w:r>
      <w:r>
        <w:rPr>
          <w:rFonts w:hint="eastAsia" w:ascii="仿宋" w:hAnsi="仿宋" w:eastAsia="仿宋" w:cs="仿宋_GB2312"/>
          <w:sz w:val="28"/>
          <w:szCs w:val="28"/>
          <w:u w:val="single"/>
        </w:rPr>
        <w:t>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28"/>
          <w:szCs w:val="28"/>
          <w:u w:val="single"/>
          <w:lang w:val="en-US" w:eastAsia="zh-CN"/>
        </w:rPr>
        <w:t>叶明陵</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val="en-US" w:eastAsia="zh-CN"/>
        </w:rPr>
        <w:t>13865621916</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eastAsia="zh-CN"/>
        </w:rPr>
        <w:t>、任凡（</w:t>
      </w:r>
      <w:r>
        <w:rPr>
          <w:rFonts w:hint="eastAsia" w:ascii="仿宋" w:hAnsi="仿宋" w:eastAsia="仿宋" w:cs="仿宋_GB2312"/>
          <w:bCs/>
          <w:sz w:val="28"/>
          <w:szCs w:val="28"/>
          <w:u w:val="single"/>
          <w:lang w:val="en-US" w:eastAsia="zh-CN"/>
        </w:rPr>
        <w:t>15656263008</w:t>
      </w:r>
      <w:r>
        <w:rPr>
          <w:rFonts w:hint="eastAsia" w:ascii="仿宋" w:hAnsi="仿宋" w:eastAsia="仿宋" w:cs="仿宋_GB2312"/>
          <w:bCs/>
          <w:sz w:val="28"/>
          <w:szCs w:val="28"/>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lang w:val="en-US" w:eastAsia="zh-CN"/>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肆</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管桩</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3121</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highlight w:val="cyan"/>
          <w:u w:val="single"/>
        </w:rPr>
      </w:pPr>
      <w:r>
        <w:rPr>
          <w:rFonts w:hint="eastAsia" w:ascii="仿宋" w:hAnsi="仿宋" w:eastAsia="仿宋" w:cs="仿宋_GB2312"/>
          <w:sz w:val="28"/>
          <w:szCs w:val="28"/>
        </w:rPr>
        <w:t>1、</w:t>
      </w:r>
      <w:r>
        <w:rPr>
          <w:rFonts w:hint="eastAsia" w:ascii="仿宋" w:hAnsi="仿宋" w:eastAsia="仿宋" w:cs="仿宋"/>
          <w:sz w:val="28"/>
          <w:szCs w:val="28"/>
        </w:rPr>
        <w:t>投标文件递交的截止时间：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17</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2、投标文件递交地点：铜陵有色金属集团铜冠建筑安装股份有限公司</w:t>
      </w:r>
      <w:r>
        <w:rPr>
          <w:rFonts w:hint="eastAsia" w:ascii="仿宋" w:hAnsi="仿宋" w:eastAsia="仿宋" w:cs="仿宋"/>
          <w:sz w:val="28"/>
          <w:szCs w:val="28"/>
          <w:lang w:val="en-US"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b w:val="0"/>
          <w:bCs w:val="0"/>
          <w:sz w:val="28"/>
          <w:szCs w:val="28"/>
          <w:highlight w:val="none"/>
          <w:u w:val="single"/>
          <w:lang w:val="en-US" w:eastAsia="zh-CN"/>
        </w:rPr>
        <w:t>管桩:</w:t>
      </w:r>
      <w:r>
        <w:rPr>
          <w:rFonts w:hint="eastAsia" w:ascii="仿宋" w:hAnsi="仿宋" w:eastAsia="仿宋" w:cs="仿宋_GB2312"/>
          <w:color w:val="000000"/>
          <w:sz w:val="28"/>
          <w:szCs w:val="28"/>
          <w:u w:val="single"/>
          <w:lang w:eastAsia="zh-CN"/>
        </w:rPr>
        <w:t>符合</w:t>
      </w:r>
      <w:r>
        <w:rPr>
          <w:rFonts w:hint="eastAsia" w:ascii="仿宋" w:hAnsi="仿宋" w:eastAsia="仿宋" w:cs="仿宋_GB2312"/>
          <w:color w:val="000000"/>
          <w:sz w:val="28"/>
          <w:szCs w:val="28"/>
          <w:u w:val="single"/>
          <w:lang w:val="en-US" w:eastAsia="zh-CN"/>
        </w:rPr>
        <w:t>GB/T13476-2009标准技术要求</w:t>
      </w:r>
      <w:r>
        <w:rPr>
          <w:rFonts w:hint="eastAsia" w:ascii="仿宋_GB2312" w:hAnsi="仿宋_GB2312" w:eastAsia="仿宋_GB2312" w:cs="仿宋_GB2312"/>
          <w:sz w:val="28"/>
          <w:szCs w:val="28"/>
          <w:highlight w:val="none"/>
          <w:u w:val="single"/>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铜陵有色金属集团股份有限公司绿色智能铜基新材料项目现场</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4、报价相关要求</w:t>
      </w:r>
    </w:p>
    <w:p>
      <w:pPr>
        <w:spacing w:line="560" w:lineRule="exact"/>
        <w:ind w:firstLine="560" w:firstLineChars="200"/>
        <w:rPr>
          <w:rFonts w:hint="default" w:ascii="仿宋" w:hAnsi="仿宋" w:eastAsia="仿宋" w:cs="仿宋_GB2312"/>
          <w:sz w:val="28"/>
          <w:szCs w:val="28"/>
          <w:highlight w:val="green"/>
          <w:u w:val="none"/>
          <w:lang w:val="en-US" w:eastAsia="zh-CN"/>
        </w:rPr>
      </w:pPr>
      <w:r>
        <w:rPr>
          <w:rFonts w:hint="eastAsia" w:ascii="仿宋" w:hAnsi="仿宋" w:eastAsia="仿宋" w:cs="仿宋_GB2312"/>
          <w:sz w:val="28"/>
          <w:szCs w:val="28"/>
          <w:highlight w:val="none"/>
        </w:rPr>
        <w:t>（1）</w:t>
      </w:r>
      <w:r>
        <w:rPr>
          <w:rFonts w:hint="eastAsia" w:ascii="仿宋" w:hAnsi="仿宋" w:eastAsia="仿宋" w:cs="仿宋_GB2312"/>
          <w:sz w:val="28"/>
          <w:szCs w:val="28"/>
          <w:highlight w:val="none"/>
          <w:u w:val="none"/>
        </w:rPr>
        <w:t>报价为含税</w:t>
      </w:r>
      <w:r>
        <w:rPr>
          <w:rFonts w:hint="eastAsia" w:ascii="仿宋" w:hAnsi="仿宋" w:eastAsia="仿宋" w:cs="仿宋_GB2312"/>
          <w:color w:val="000000"/>
          <w:sz w:val="28"/>
          <w:szCs w:val="28"/>
          <w:highlight w:val="none"/>
          <w:u w:val="none"/>
        </w:rPr>
        <w:t>含运费价</w:t>
      </w:r>
      <w:r>
        <w:rPr>
          <w:rFonts w:hint="eastAsia" w:ascii="仿宋" w:hAnsi="仿宋" w:eastAsia="仿宋" w:cs="仿宋_GB2312"/>
          <w:color w:val="000000"/>
          <w:sz w:val="28"/>
          <w:szCs w:val="28"/>
          <w:highlight w:val="none"/>
          <w:u w:val="none"/>
          <w:lang w:eastAsia="zh-CN"/>
        </w:rPr>
        <w:t>一票制</w:t>
      </w:r>
      <w:r>
        <w:rPr>
          <w:rFonts w:hint="eastAsia" w:ascii="仿宋" w:hAnsi="仿宋" w:eastAsia="仿宋" w:cs="仿宋_GB2312"/>
          <w:sz w:val="28"/>
          <w:szCs w:val="28"/>
          <w:highlight w:val="none"/>
          <w:u w:val="none"/>
        </w:rPr>
        <w:t>（税率</w:t>
      </w:r>
      <w:r>
        <w:rPr>
          <w:rFonts w:hint="eastAsia" w:ascii="仿宋" w:hAnsi="仿宋" w:eastAsia="仿宋" w:cs="仿宋_GB2312"/>
          <w:sz w:val="28"/>
          <w:szCs w:val="28"/>
          <w:highlight w:val="none"/>
          <w:u w:val="none"/>
          <w:lang w:eastAsia="zh-CN"/>
        </w:rPr>
        <w:t>为</w:t>
      </w:r>
      <w:r>
        <w:rPr>
          <w:rFonts w:hint="eastAsia" w:ascii="仿宋" w:hAnsi="仿宋" w:eastAsia="仿宋" w:cs="仿宋_GB2312"/>
          <w:sz w:val="28"/>
          <w:szCs w:val="28"/>
          <w:highlight w:val="none"/>
          <w:u w:val="none"/>
          <w:lang w:val="en-US" w:eastAsia="zh-CN"/>
        </w:rPr>
        <w:t>13%</w:t>
      </w:r>
      <w:r>
        <w:rPr>
          <w:rFonts w:hint="eastAsia" w:ascii="仿宋" w:hAnsi="仿宋" w:eastAsia="仿宋" w:cs="仿宋_GB2312"/>
          <w:sz w:val="28"/>
          <w:szCs w:val="28"/>
          <w:highlight w:val="none"/>
          <w:u w:val="none"/>
        </w:rPr>
        <w:t>）</w:t>
      </w:r>
      <w:r>
        <w:rPr>
          <w:rFonts w:hint="eastAsia" w:ascii="仿宋" w:hAnsi="仿宋" w:eastAsia="仿宋" w:cs="仿宋_GB2312"/>
          <w:color w:val="000000"/>
          <w:sz w:val="28"/>
          <w:szCs w:val="28"/>
          <w:highlight w:val="none"/>
          <w:u w:val="none"/>
        </w:rPr>
        <w:t>。</w:t>
      </w:r>
    </w:p>
    <w:p>
      <w:pPr>
        <w:ind w:firstLine="560" w:firstLineChars="200"/>
        <w:rPr>
          <w:rFonts w:hint="eastAsia" w:ascii="仿宋" w:hAnsi="仿宋" w:eastAsia="仿宋" w:cs="仿宋_GB2312"/>
          <w:sz w:val="28"/>
          <w:szCs w:val="28"/>
          <w:highlight w:val="green"/>
          <w:lang w:eastAsia="zh-CN"/>
        </w:rPr>
      </w:pPr>
      <w:r>
        <w:rPr>
          <w:rFonts w:hint="eastAsia" w:ascii="仿宋" w:hAnsi="仿宋" w:eastAsia="仿宋" w:cs="仿宋_GB2312"/>
          <w:sz w:val="28"/>
          <w:szCs w:val="28"/>
          <w:u w:val="none"/>
        </w:rPr>
        <w:t>（2）各投标单位在投标报价前应仔细审阅招标公告、报价表及报价说明等与此次报价相关的所有资料。报价要谨慎，一旦中标，视为理解并考虑了我公司一切要求的报价，不得以任何理由变更。</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w:t>
      </w:r>
      <w:r>
        <w:rPr>
          <w:rFonts w:hint="eastAsia" w:ascii="仿宋" w:hAnsi="仿宋" w:eastAsia="仿宋" w:cs="仿宋_GB2312"/>
          <w:sz w:val="28"/>
          <w:szCs w:val="28"/>
          <w:lang w:eastAsia="zh-CN"/>
        </w:rPr>
        <w:t>招标单位现场人员签收的送货单</w:t>
      </w:r>
      <w:r>
        <w:rPr>
          <w:rFonts w:hint="eastAsia" w:ascii="仿宋" w:hAnsi="仿宋" w:eastAsia="仿宋" w:cs="仿宋_GB2312"/>
          <w:sz w:val="28"/>
          <w:szCs w:val="28"/>
        </w:rPr>
        <w:t>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招标单位现场人员签收的送货单</w:t>
      </w:r>
      <w:r>
        <w:rPr>
          <w:rFonts w:hint="eastAsia" w:ascii="仿宋" w:hAnsi="仿宋" w:eastAsia="仿宋" w:cs="仿宋_GB2312"/>
          <w:sz w:val="28"/>
          <w:szCs w:val="28"/>
        </w:rPr>
        <w:t>为结算数量，供需双方共同确认供应数量和金额后在结算单上签字。</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7、结算价格</w:t>
      </w:r>
    </w:p>
    <w:p>
      <w:pPr>
        <w:spacing w:line="560" w:lineRule="exact"/>
        <w:ind w:firstLine="560"/>
        <w:rPr>
          <w:rFonts w:hint="eastAsia" w:ascii="仿宋" w:hAnsi="仿宋" w:eastAsia="仿宋" w:cs="仿宋_GB2312"/>
          <w:spacing w:val="-17"/>
          <w:sz w:val="28"/>
          <w:szCs w:val="28"/>
          <w:highlight w:val="none"/>
          <w:u w:val="single"/>
        </w:rPr>
      </w:pPr>
      <w:r>
        <w:rPr>
          <w:rFonts w:hint="eastAsia" w:ascii="仿宋" w:hAnsi="仿宋" w:eastAsia="仿宋" w:cs="仿宋_GB2312"/>
          <w:sz w:val="28"/>
          <w:szCs w:val="28"/>
          <w:highlight w:val="none"/>
          <w:u w:val="single"/>
        </w:rPr>
        <w:t>各投标单位报价须谨慎，一旦中标不得以任何理由变更报价</w:t>
      </w:r>
      <w:r>
        <w:rPr>
          <w:rFonts w:hint="eastAsia" w:ascii="仿宋" w:hAnsi="仿宋" w:eastAsia="仿宋" w:cs="仿宋_GB2312"/>
          <w:spacing w:val="-17"/>
          <w:sz w:val="28"/>
          <w:szCs w:val="28"/>
          <w:highlight w:val="none"/>
          <w:u w:val="single"/>
        </w:rPr>
        <w:t>。</w:t>
      </w:r>
    </w:p>
    <w:p>
      <w:pPr>
        <w:spacing w:line="560" w:lineRule="exact"/>
        <w:ind w:firstLine="560"/>
        <w:rPr>
          <w:rFonts w:hint="default" w:ascii="仿宋" w:hAnsi="仿宋" w:eastAsia="仿宋" w:cs="仿宋_GB2312"/>
          <w:spacing w:val="-17"/>
          <w:sz w:val="28"/>
          <w:szCs w:val="28"/>
          <w:highlight w:val="none"/>
          <w:u w:val="single"/>
          <w:lang w:val="en-US" w:eastAsia="zh-CN"/>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30121</w:t>
      </w:r>
      <w:r>
        <w:rPr>
          <w:rFonts w:hint="eastAsia" w:ascii="仿宋" w:hAnsi="仿宋" w:eastAsia="仿宋"/>
          <w:b/>
          <w:sz w:val="28"/>
          <w:szCs w:val="28"/>
        </w:rPr>
        <w:t>）</w:t>
      </w:r>
    </w:p>
    <w:tbl>
      <w:tblPr>
        <w:tblStyle w:val="54"/>
        <w:tblW w:w="15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526"/>
        <w:gridCol w:w="1511"/>
        <w:gridCol w:w="1062"/>
        <w:gridCol w:w="1167"/>
        <w:gridCol w:w="1705"/>
        <w:gridCol w:w="1918"/>
        <w:gridCol w:w="1413"/>
        <w:gridCol w:w="1052"/>
        <w:gridCol w:w="1735"/>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441"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26"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1"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2"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67"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05"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18"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3"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87"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0"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trPr>
        <w:tc>
          <w:tcPr>
            <w:tcW w:w="441"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2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预应力管桩</w:t>
            </w:r>
          </w:p>
        </w:tc>
        <w:tc>
          <w:tcPr>
            <w:tcW w:w="1511"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PHC500AB125</w:t>
            </w:r>
          </w:p>
        </w:tc>
        <w:tc>
          <w:tcPr>
            <w:tcW w:w="1062"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16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5000</w:t>
            </w:r>
          </w:p>
        </w:tc>
        <w:tc>
          <w:tcPr>
            <w:tcW w:w="1705" w:type="dxa"/>
            <w:vAlign w:val="center"/>
          </w:tcPr>
          <w:p>
            <w:pPr>
              <w:spacing w:line="400" w:lineRule="exact"/>
              <w:jc w:val="center"/>
              <w:rPr>
                <w:rFonts w:hint="eastAsia" w:ascii="仿宋" w:hAnsi="仿宋" w:eastAsia="仿宋"/>
                <w:sz w:val="24"/>
              </w:rPr>
            </w:pPr>
          </w:p>
        </w:tc>
        <w:tc>
          <w:tcPr>
            <w:tcW w:w="1918" w:type="dxa"/>
            <w:vAlign w:val="center"/>
          </w:tcPr>
          <w:p>
            <w:pPr>
              <w:spacing w:line="400" w:lineRule="exact"/>
              <w:jc w:val="center"/>
              <w:rPr>
                <w:rFonts w:hint="eastAsia" w:ascii="仿宋" w:hAnsi="仿宋" w:eastAsia="仿宋"/>
                <w:sz w:val="24"/>
              </w:rPr>
            </w:pPr>
          </w:p>
        </w:tc>
        <w:tc>
          <w:tcPr>
            <w:tcW w:w="1413"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87"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0"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trPr>
        <w:tc>
          <w:tcPr>
            <w:tcW w:w="441"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52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预应力管桩</w:t>
            </w:r>
          </w:p>
        </w:tc>
        <w:tc>
          <w:tcPr>
            <w:tcW w:w="1511"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PHC600AB130</w:t>
            </w:r>
          </w:p>
        </w:tc>
        <w:tc>
          <w:tcPr>
            <w:tcW w:w="1062"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167"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5000</w:t>
            </w:r>
          </w:p>
        </w:tc>
        <w:tc>
          <w:tcPr>
            <w:tcW w:w="1705" w:type="dxa"/>
            <w:vAlign w:val="center"/>
          </w:tcPr>
          <w:p>
            <w:pPr>
              <w:spacing w:line="400" w:lineRule="exact"/>
              <w:jc w:val="center"/>
              <w:rPr>
                <w:rFonts w:hint="eastAsia" w:ascii="仿宋" w:hAnsi="仿宋" w:eastAsia="仿宋"/>
                <w:sz w:val="24"/>
              </w:rPr>
            </w:pPr>
            <w:bookmarkStart w:id="0" w:name="_GoBack"/>
            <w:bookmarkEnd w:id="0"/>
          </w:p>
        </w:tc>
        <w:tc>
          <w:tcPr>
            <w:tcW w:w="1918" w:type="dxa"/>
            <w:vAlign w:val="center"/>
          </w:tcPr>
          <w:p>
            <w:pPr>
              <w:spacing w:line="400" w:lineRule="exact"/>
              <w:jc w:val="center"/>
              <w:rPr>
                <w:rFonts w:hint="eastAsia" w:ascii="仿宋" w:hAnsi="仿宋" w:eastAsia="仿宋"/>
                <w:sz w:val="24"/>
              </w:rPr>
            </w:pPr>
          </w:p>
        </w:tc>
        <w:tc>
          <w:tcPr>
            <w:tcW w:w="141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13%</w:t>
            </w:r>
          </w:p>
        </w:tc>
        <w:tc>
          <w:tcPr>
            <w:tcW w:w="2787"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0"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154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5707"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2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70"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5707" w:type="dxa"/>
            <w:gridSpan w:val="5"/>
            <w:vMerge w:val="continue"/>
            <w:vAlign w:val="center"/>
          </w:tcPr>
          <w:p>
            <w:pPr>
              <w:spacing w:line="400" w:lineRule="exact"/>
              <w:rPr>
                <w:rFonts w:hint="eastAsia" w:ascii="仿宋" w:hAnsi="仿宋" w:eastAsia="仿宋"/>
                <w:sz w:val="24"/>
              </w:rPr>
            </w:pPr>
          </w:p>
        </w:tc>
        <w:tc>
          <w:tcPr>
            <w:tcW w:w="362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65"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0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5707" w:type="dxa"/>
            <w:gridSpan w:val="5"/>
            <w:vMerge w:val="continue"/>
            <w:vAlign w:val="center"/>
          </w:tcPr>
          <w:p>
            <w:pPr>
              <w:spacing w:line="400" w:lineRule="exact"/>
              <w:rPr>
                <w:rFonts w:hint="eastAsia" w:ascii="仿宋" w:hAnsi="仿宋" w:eastAsia="仿宋"/>
                <w:sz w:val="24"/>
              </w:rPr>
            </w:pPr>
          </w:p>
        </w:tc>
        <w:tc>
          <w:tcPr>
            <w:tcW w:w="3623" w:type="dxa"/>
            <w:gridSpan w:val="2"/>
            <w:vMerge w:val="continue"/>
            <w:vAlign w:val="center"/>
          </w:tcPr>
          <w:p>
            <w:pPr>
              <w:spacing w:line="400" w:lineRule="exact"/>
              <w:jc w:val="center"/>
              <w:rPr>
                <w:rFonts w:hint="eastAsia" w:ascii="仿宋" w:hAnsi="仿宋" w:eastAsia="仿宋"/>
                <w:sz w:val="24"/>
              </w:rPr>
            </w:pPr>
          </w:p>
        </w:tc>
        <w:tc>
          <w:tcPr>
            <w:tcW w:w="2465"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0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5737884"/>
    <w:rsid w:val="165C0F7F"/>
    <w:rsid w:val="17D86D23"/>
    <w:rsid w:val="17F4775E"/>
    <w:rsid w:val="18AF15FD"/>
    <w:rsid w:val="19E94006"/>
    <w:rsid w:val="1BBF797C"/>
    <w:rsid w:val="1DE26149"/>
    <w:rsid w:val="1DEE2CCA"/>
    <w:rsid w:val="1E052624"/>
    <w:rsid w:val="1E247EC6"/>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6783742"/>
    <w:rsid w:val="475227CF"/>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9021DF3"/>
    <w:rsid w:val="69AD4D95"/>
    <w:rsid w:val="6A1720C7"/>
    <w:rsid w:val="6A315ABB"/>
    <w:rsid w:val="6A43654D"/>
    <w:rsid w:val="6A87598F"/>
    <w:rsid w:val="6E1970B9"/>
    <w:rsid w:val="6F0109C8"/>
    <w:rsid w:val="6F763902"/>
    <w:rsid w:val="6FE30FB3"/>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8"/>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0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 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 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after="0"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 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 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 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uiPriority w:val="0"/>
    <w:rPr>
      <w:b/>
      <w:bCs/>
      <w:i/>
      <w:iCs/>
      <w:color w:val="4F81BD"/>
      <w:kern w:val="2"/>
      <w:sz w:val="21"/>
      <w:szCs w:val="22"/>
      <w:lang w:bidi="ar-SA"/>
    </w:rPr>
  </w:style>
  <w:style w:type="character" w:customStyle="1" w:styleId="123">
    <w:name w:val="标题 9 Char"/>
    <w:link w:val="10"/>
    <w:uiPriority w:val="0"/>
    <w:rPr>
      <w:rFonts w:ascii="Arial" w:hAnsi="Arial" w:eastAsia="黑体"/>
      <w:sz w:val="21"/>
      <w:szCs w:val="21"/>
      <w:lang w:val="en-US" w:eastAsia="zh-CN" w:bidi="ar-SA"/>
    </w:rPr>
  </w:style>
  <w:style w:type="character" w:customStyle="1" w:styleId="124">
    <w:name w:val=" 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uiPriority w:val="0"/>
    <w:rPr>
      <w:rFonts w:eastAsia="宋体"/>
      <w:kern w:val="2"/>
      <w:sz w:val="18"/>
      <w:szCs w:val="18"/>
      <w:lang w:val="en-US" w:eastAsia="zh-CN" w:bidi="ar-SA"/>
    </w:rPr>
  </w:style>
  <w:style w:type="character" w:customStyle="1" w:styleId="130">
    <w:name w:val="标题 7 Char"/>
    <w:link w:val="8"/>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uiPriority w:val="0"/>
    <w:rPr>
      <w:b/>
      <w:bCs/>
      <w:sz w:val="32"/>
      <w:szCs w:val="32"/>
    </w:rPr>
  </w:style>
  <w:style w:type="character" w:customStyle="1" w:styleId="137">
    <w:name w:val=" Char Char2"/>
    <w:uiPriority w:val="0"/>
    <w:rPr>
      <w:rFonts w:eastAsia="宋体"/>
      <w:kern w:val="2"/>
      <w:sz w:val="21"/>
      <w:szCs w:val="24"/>
      <w:lang w:val="en-US" w:eastAsia="zh-CN" w:bidi="ar-SA"/>
    </w:rPr>
  </w:style>
  <w:style w:type="character" w:customStyle="1" w:styleId="138">
    <w:name w:val="标题 2 Char"/>
    <w:link w:val="3"/>
    <w:uiPriority w:val="0"/>
    <w:rPr>
      <w:rFonts w:ascii="Arial" w:hAnsi="Arial" w:eastAsia="黑体"/>
      <w:b/>
      <w:bCs/>
      <w:kern w:val="2"/>
      <w:sz w:val="32"/>
      <w:szCs w:val="32"/>
      <w:lang w:val="en-US" w:eastAsia="zh-CN" w:bidi="ar-SA"/>
    </w:rPr>
  </w:style>
  <w:style w:type="character" w:customStyle="1" w:styleId="139">
    <w:name w:val="页脚 Char Char"/>
    <w:uiPriority w:val="0"/>
    <w:rPr>
      <w:rFonts w:eastAsia="宋体"/>
      <w:kern w:val="2"/>
      <w:sz w:val="18"/>
      <w:szCs w:val="18"/>
      <w:lang w:val="en-US" w:eastAsia="zh-CN" w:bidi="ar-SA"/>
    </w:rPr>
  </w:style>
  <w:style w:type="character" w:customStyle="1" w:styleId="140">
    <w:name w:val="标题 8 Char"/>
    <w:link w:val="9"/>
    <w:uiPriority w:val="0"/>
    <w:rPr>
      <w:rFonts w:ascii="Arial" w:hAnsi="Arial" w:eastAsia="黑体"/>
      <w:sz w:val="24"/>
      <w:szCs w:val="24"/>
      <w:lang w:val="en-US" w:eastAsia="zh-CN" w:bidi="ar-SA"/>
    </w:rPr>
  </w:style>
  <w:style w:type="character" w:customStyle="1" w:styleId="141">
    <w:name w:val="font11"/>
    <w:uiPriority w:val="0"/>
    <w:rPr>
      <w:rFonts w:hint="eastAsia" w:ascii="宋体" w:hAnsi="宋体" w:eastAsia="宋体" w:cs="宋体"/>
      <w:color w:val="000000"/>
      <w:sz w:val="20"/>
      <w:szCs w:val="20"/>
      <w:u w:val="none"/>
    </w:rPr>
  </w:style>
  <w:style w:type="character" w:customStyle="1" w:styleId="142">
    <w:name w:val="批注框文本 Char1"/>
    <w:uiPriority w:val="0"/>
    <w:rPr>
      <w:kern w:val="2"/>
      <w:sz w:val="18"/>
      <w:szCs w:val="18"/>
    </w:rPr>
  </w:style>
  <w:style w:type="character" w:customStyle="1" w:styleId="143">
    <w:name w:val="标题4 Char Char"/>
    <w:link w:val="88"/>
    <w:uiPriority w:val="0"/>
    <w:rPr>
      <w:rFonts w:ascii="Arial" w:hAnsi="Arial"/>
      <w:b/>
      <w:bCs/>
      <w:sz w:val="24"/>
      <w:szCs w:val="32"/>
      <w:lang w:bidi="ar-SA"/>
    </w:rPr>
  </w:style>
  <w:style w:type="character" w:customStyle="1" w:styleId="144">
    <w:name w:val=" Char Char17"/>
    <w:uiPriority w:val="0"/>
    <w:rPr>
      <w:rFonts w:ascii="Cambria" w:hAnsi="Cambria" w:eastAsia="宋体" w:cs="Times New Roman"/>
      <w:b/>
      <w:bCs/>
      <w:kern w:val="2"/>
      <w:sz w:val="32"/>
      <w:szCs w:val="32"/>
    </w:rPr>
  </w:style>
  <w:style w:type="character" w:customStyle="1" w:styleId="145">
    <w:name w:val="textcontents"/>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uiPriority w:val="0"/>
    <w:rPr>
      <w:rFonts w:ascii="Arial" w:hAnsi="Arial" w:eastAsia="黑体"/>
      <w:b/>
      <w:bCs/>
      <w:sz w:val="24"/>
      <w:szCs w:val="24"/>
      <w:lang w:val="en-US" w:eastAsia="zh-CN" w:bidi="ar-SA"/>
    </w:rPr>
  </w:style>
  <w:style w:type="character" w:customStyle="1" w:styleId="148">
    <w:name w:val="文档结构图 Char"/>
    <w:link w:val="17"/>
    <w:uiPriority w:val="0"/>
    <w:rPr>
      <w:rFonts w:eastAsia="宋体"/>
      <w:kern w:val="2"/>
      <w:sz w:val="21"/>
      <w:szCs w:val="24"/>
      <w:lang w:val="en-US" w:eastAsia="zh-CN" w:bidi="ar-SA"/>
    </w:rPr>
  </w:style>
  <w:style w:type="character" w:customStyle="1" w:styleId="149">
    <w:name w:val="彩色网格 - 强调文字颜色 1 Char"/>
    <w:link w:val="89"/>
    <w:uiPriority w:val="0"/>
    <w:rPr>
      <w:i/>
      <w:iCs/>
      <w:color w:val="000000"/>
      <w:kern w:val="2"/>
      <w:sz w:val="21"/>
      <w:szCs w:val="22"/>
      <w:lang w:bidi="ar-SA"/>
    </w:rPr>
  </w:style>
  <w:style w:type="character" w:customStyle="1" w:styleId="150">
    <w:name w:val="批注文字 Char Char"/>
    <w:uiPriority w:val="0"/>
    <w:rPr>
      <w:rFonts w:ascii="宋体" w:hAnsi="Times New Roman" w:eastAsia="宋体" w:cs="Times New Roman"/>
      <w:sz w:val="28"/>
      <w:szCs w:val="20"/>
    </w:rPr>
  </w:style>
  <w:style w:type="character" w:customStyle="1" w:styleId="151">
    <w:name w:val=" Char Char18"/>
    <w:uiPriority w:val="0"/>
    <w:rPr>
      <w:b/>
      <w:bCs/>
      <w:kern w:val="44"/>
      <w:sz w:val="44"/>
      <w:szCs w:val="44"/>
    </w:rPr>
  </w:style>
  <w:style w:type="character" w:customStyle="1" w:styleId="152">
    <w:name w:val="标题 3 Char"/>
    <w:link w:val="4"/>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2023-08-10T06:46:23Z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