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厄瓜多尔、全鑫矿业项目钢材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3131</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25</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25</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钢构-厄瓜多尔、全鑫矿业项目钢材（详见报价单1包、2包）</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lang w:val="en-US" w:eastAsia="zh-CN"/>
        </w:rPr>
        <w:t>详见报价单</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u w:val="single"/>
          <w:lang w:val="en-US" w:eastAsia="zh-CN"/>
        </w:rPr>
        <w:t>本次投标单位需同时做两份报价。1、按实际交货数量结算，供货即现汇支付货款；2、供货开票次月支付40%,当年年底支付40%，剩余20%后两年内支付</w:t>
      </w:r>
      <w:r>
        <w:rPr>
          <w:rFonts w:hint="eastAsia" w:asciiTheme="minorEastAsia" w:hAnsiTheme="minorEastAsia" w:eastAsiaTheme="minorEastAsia" w:cstheme="minorEastAsia"/>
          <w:sz w:val="28"/>
          <w:szCs w:val="28"/>
          <w:u w:val="single"/>
          <w:lang w:eastAsia="zh-CN"/>
        </w:rPr>
        <w:t>）。</w:t>
      </w:r>
    </w:p>
    <w:p>
      <w:pPr>
        <w:spacing w:line="600" w:lineRule="exact"/>
        <w:ind w:firstLine="570" w:firstLineChars="200"/>
        <w:rPr>
          <w:rFonts w:asciiTheme="minorEastAsia" w:hAnsiTheme="minorEastAsia" w:eastAsiaTheme="minorEastAsia" w:cstheme="minorEastAsia"/>
          <w:sz w:val="28"/>
          <w:szCs w:val="28"/>
          <w:u w:val="single"/>
        </w:rPr>
      </w:pPr>
      <w:bookmarkStart w:id="0" w:name="_GoBack"/>
      <w:bookmarkEnd w:id="0"/>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2738</Words>
  <Characters>3035</Characters>
  <Lines>56</Lines>
  <Paragraphs>15</Paragraphs>
  <TotalTime>39</TotalTime>
  <ScaleCrop>false</ScaleCrop>
  <LinksUpToDate>false</LinksUpToDate>
  <CharactersWithSpaces>3114</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2023-08-25T07:06:42Z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