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rPr>
      </w:pPr>
      <w:r>
        <w:rPr>
          <w:rFonts w:ascii="楷体_GB2312" w:hAnsi="宋体" w:eastAsia="楷体_GB2312" w:cs="宋体"/>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rPr>
      </w:pPr>
    </w:p>
    <w:p>
      <w:pPr>
        <w:spacing w:line="560" w:lineRule="exact"/>
        <w:jc w:val="center"/>
        <w:rPr>
          <w:rFonts w:hint="eastAsia" w:ascii="仿宋" w:hAnsi="仿宋" w:eastAsia="仿宋" w:cs="宋体"/>
          <w:b/>
          <w:bCs/>
          <w:kern w:val="1"/>
          <w:sz w:val="44"/>
          <w:szCs w:val="44"/>
          <w:u w:val="single"/>
        </w:rPr>
      </w:pPr>
      <w:r>
        <w:rPr>
          <w:rFonts w:hint="eastAsia" w:ascii="仿宋" w:hAnsi="仿宋" w:eastAsia="仿宋" w:cs="宋体"/>
          <w:b/>
          <w:bCs/>
          <w:kern w:val="1"/>
          <w:sz w:val="44"/>
          <w:szCs w:val="44"/>
          <w:u w:val="single"/>
        </w:rPr>
        <w:t>铜陵铜冠建安公司第二事业部</w:t>
      </w:r>
    </w:p>
    <w:p>
      <w:pPr>
        <w:spacing w:line="560" w:lineRule="exact"/>
        <w:jc w:val="center"/>
        <w:rPr>
          <w:rFonts w:hint="eastAsia" w:ascii="仿宋" w:hAnsi="仿宋" w:eastAsia="仿宋" w:cs="宋体"/>
          <w:b/>
          <w:bCs/>
          <w:kern w:val="1"/>
          <w:sz w:val="44"/>
          <w:szCs w:val="44"/>
          <w:u w:val="single"/>
          <w:lang w:val="en-US" w:eastAsia="zh-CN"/>
        </w:rPr>
      </w:pPr>
      <w:r>
        <w:rPr>
          <w:rFonts w:hint="eastAsia" w:ascii="仿宋" w:hAnsi="仿宋" w:eastAsia="仿宋" w:cs="宋体"/>
          <w:b/>
          <w:bCs/>
          <w:kern w:val="1"/>
          <w:sz w:val="44"/>
          <w:szCs w:val="44"/>
          <w:u w:val="single"/>
          <w:lang w:eastAsia="zh-CN"/>
        </w:rPr>
        <w:t>全鑫矿业项目袋装水泥材料</w:t>
      </w:r>
    </w:p>
    <w:p>
      <w:pPr>
        <w:tabs>
          <w:tab w:val="left" w:pos="7020"/>
        </w:tabs>
        <w:jc w:val="center"/>
        <w:rPr>
          <w:rFonts w:ascii="仿宋" w:hAnsi="仿宋" w:eastAsia="仿宋" w:cs="宋体"/>
          <w:b/>
          <w:bCs/>
          <w:kern w:val="1"/>
          <w:sz w:val="44"/>
          <w:szCs w:val="44"/>
          <w:u w:val="single"/>
        </w:rPr>
      </w:pPr>
    </w:p>
    <w:p>
      <w:pPr>
        <w:spacing w:line="560" w:lineRule="exact"/>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lang w:eastAsia="zh-CN"/>
        </w:rPr>
        <w:t>二次挂网</w:t>
      </w:r>
      <w:r>
        <w:rPr>
          <w:rFonts w:hint="eastAsia" w:ascii="仿宋" w:hAnsi="仿宋" w:eastAsia="仿宋"/>
          <w:b/>
          <w:sz w:val="72"/>
          <w:szCs w:val="72"/>
        </w:rPr>
        <w:t>招标文件</w:t>
      </w:r>
    </w:p>
    <w:p>
      <w:pPr>
        <w:tabs>
          <w:tab w:val="left" w:pos="7020"/>
        </w:tabs>
        <w:spacing w:line="560" w:lineRule="exact"/>
        <w:jc w:val="center"/>
        <w:rPr>
          <w:rFonts w:ascii="仿宋" w:hAnsi="仿宋" w:eastAsia="仿宋"/>
          <w:b/>
          <w:sz w:val="52"/>
          <w:szCs w:val="52"/>
        </w:rPr>
      </w:pPr>
    </w:p>
    <w:p>
      <w:pPr>
        <w:tabs>
          <w:tab w:val="left" w:pos="7020"/>
        </w:tabs>
        <w:spacing w:line="560" w:lineRule="exact"/>
        <w:jc w:val="center"/>
        <w:rPr>
          <w:rFonts w:ascii="仿宋" w:hAnsi="仿宋" w:eastAsia="仿宋"/>
          <w:b/>
          <w:sz w:val="52"/>
          <w:szCs w:val="52"/>
        </w:rPr>
      </w:pPr>
    </w:p>
    <w:p>
      <w:pPr>
        <w:spacing w:line="560" w:lineRule="exact"/>
        <w:rPr>
          <w:rFonts w:hint="default" w:ascii="仿宋" w:hAnsi="仿宋" w:eastAsia="仿宋" w:cs="仿宋_GB2312"/>
          <w:b/>
          <w:bCs/>
          <w:sz w:val="32"/>
          <w:szCs w:val="32"/>
          <w:u w:val="single"/>
          <w:lang w:val="en-US"/>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TGJA-WZ-2023</w:t>
      </w:r>
      <w:r>
        <w:rPr>
          <w:rFonts w:hint="eastAsia" w:ascii="仿宋" w:hAnsi="仿宋" w:eastAsia="仿宋" w:cs="仿宋_GB2312"/>
          <w:b/>
          <w:bCs/>
          <w:sz w:val="32"/>
          <w:szCs w:val="32"/>
          <w:u w:val="single"/>
          <w:lang w:val="en-US" w:eastAsia="zh-CN"/>
        </w:rPr>
        <w:t>138-2</w:t>
      </w: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2023年</w:t>
      </w:r>
      <w:r>
        <w:rPr>
          <w:rFonts w:hint="eastAsia" w:ascii="仿宋" w:hAnsi="仿宋" w:eastAsia="仿宋" w:cs="仿宋_GB2312"/>
          <w:b/>
          <w:bCs/>
          <w:sz w:val="32"/>
          <w:szCs w:val="32"/>
          <w:u w:val="single"/>
          <w:lang w:val="en-US" w:eastAsia="zh-CN"/>
        </w:rPr>
        <w:t>10</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9</w:t>
      </w:r>
      <w:r>
        <w:rPr>
          <w:rFonts w:hint="eastAsia" w:ascii="仿宋" w:hAnsi="仿宋" w:eastAsia="仿宋" w:cs="仿宋_GB2312"/>
          <w:b/>
          <w:bCs/>
          <w:sz w:val="32"/>
          <w:szCs w:val="32"/>
          <w:u w:val="single"/>
        </w:rPr>
        <w:t>日</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铜陵有色金属集团铜冠建筑安装股份有限公司（盖章）</w:t>
      </w:r>
    </w:p>
    <w:p>
      <w:pPr>
        <w:spacing w:line="560" w:lineRule="exact"/>
        <w:rPr>
          <w:rFonts w:ascii="仿宋" w:hAnsi="仿宋" w:eastAsia="仿宋" w:cs="仿宋_GB2312"/>
          <w:b/>
          <w:bCs/>
          <w:sz w:val="32"/>
          <w:szCs w:val="32"/>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u w:val="single"/>
        </w:rPr>
      </w:pPr>
    </w:p>
    <w:p>
      <w:pPr>
        <w:tabs>
          <w:tab w:val="left" w:pos="7020"/>
        </w:tabs>
        <w:snapToGrid w:val="0"/>
        <w:spacing w:line="560" w:lineRule="exact"/>
        <w:jc w:val="left"/>
        <w:rPr>
          <w:rFonts w:ascii="仿宋" w:hAnsi="仿宋" w:eastAsia="仿宋" w:cs="仿宋_GB2312"/>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560" w:lineRule="exact"/>
        <w:rPr>
          <w:rFonts w:ascii="仿宋" w:hAnsi="仿宋" w:eastAsia="仿宋" w:cs="仿宋_GB2312"/>
          <w:b/>
          <w:bCs/>
          <w:sz w:val="28"/>
          <w:szCs w:val="28"/>
        </w:rPr>
      </w:pPr>
      <w:r>
        <w:rPr>
          <w:rFonts w:hint="eastAsia" w:ascii="仿宋" w:hAnsi="仿宋" w:eastAsia="仿宋" w:cs="仿宋_GB2312"/>
          <w:b/>
          <w:bCs/>
          <w:sz w:val="28"/>
          <w:szCs w:val="28"/>
        </w:rPr>
        <w:t>【声明】</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2、公开招标（竞价）在铜冠建安公司纪委监督下进行。</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spacing w:line="560" w:lineRule="exact"/>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10</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日</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10</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12</w:t>
      </w:r>
      <w:r>
        <w:rPr>
          <w:rFonts w:hint="eastAsia" w:ascii="仿宋" w:hAnsi="仿宋" w:eastAsia="仿宋" w:cs="仿宋_GB2312"/>
          <w:sz w:val="28"/>
          <w:szCs w:val="28"/>
          <w:u w:val="single"/>
        </w:rPr>
        <w:t>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3、投标文件递交地点：铜陵有色金属集团铜冠建筑安装股份有限公司经营部（黄山大道南段879号主楼四楼）</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10</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12</w:t>
      </w:r>
      <w:r>
        <w:rPr>
          <w:rFonts w:hint="eastAsia" w:ascii="仿宋" w:hAnsi="仿宋" w:eastAsia="仿宋" w:cs="仿宋_GB2312"/>
          <w:sz w:val="28"/>
          <w:szCs w:val="28"/>
          <w:u w:val="single"/>
        </w:rPr>
        <w:t>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rPr>
          <w:rFonts w:ascii="仿宋" w:hAnsi="仿宋" w:eastAsia="仿宋" w:cs="仿宋_GB2312"/>
          <w:sz w:val="28"/>
          <w:szCs w:val="28"/>
        </w:rPr>
      </w:pPr>
    </w:p>
    <w:p>
      <w:pPr>
        <w:spacing w:line="560" w:lineRule="exact"/>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本次招标的具体内容如下：</w:t>
      </w:r>
    </w:p>
    <w:p>
      <w:pPr>
        <w:spacing w:line="560" w:lineRule="exact"/>
        <w:ind w:firstLine="936" w:firstLineChars="400"/>
        <w:rPr>
          <w:rFonts w:ascii="仿宋" w:hAnsi="仿宋" w:eastAsia="仿宋" w:cs="仿宋_GB2312"/>
          <w:spacing w:val="-23"/>
          <w:sz w:val="28"/>
          <w:szCs w:val="28"/>
          <w:u w:val="single"/>
        </w:rPr>
      </w:pPr>
      <w:r>
        <w:rPr>
          <w:rFonts w:hint="eastAsia" w:ascii="仿宋" w:hAnsi="仿宋" w:eastAsia="仿宋" w:cs="仿宋_GB2312"/>
          <w:spacing w:val="-23"/>
          <w:sz w:val="28"/>
          <w:szCs w:val="28"/>
          <w:u w:val="single"/>
        </w:rPr>
        <w:t>详见报价单。</w:t>
      </w:r>
    </w:p>
    <w:p>
      <w:pPr>
        <w:spacing w:line="560" w:lineRule="exact"/>
        <w:ind w:firstLine="468" w:firstLineChars="200"/>
        <w:rPr>
          <w:rFonts w:ascii="仿宋" w:hAnsi="仿宋" w:eastAsia="仿宋" w:cs="仿宋_GB2312"/>
          <w:spacing w:val="-23"/>
          <w:sz w:val="28"/>
          <w:szCs w:val="28"/>
          <w:u w:val="single"/>
        </w:rPr>
      </w:pPr>
    </w:p>
    <w:p>
      <w:pPr>
        <w:spacing w:line="560" w:lineRule="exact"/>
        <w:ind w:firstLine="468" w:firstLineChars="200"/>
        <w:rPr>
          <w:rFonts w:ascii="仿宋" w:hAnsi="仿宋" w:eastAsia="仿宋" w:cs="仿宋_GB2312"/>
          <w:spacing w:val="-23"/>
          <w:sz w:val="28"/>
          <w:szCs w:val="28"/>
          <w:u w:val="single"/>
        </w:rPr>
      </w:pPr>
    </w:p>
    <w:p>
      <w:pPr>
        <w:spacing w:line="560" w:lineRule="exact"/>
        <w:rPr>
          <w:rFonts w:ascii="仿宋" w:hAnsi="仿宋" w:eastAsia="仿宋" w:cs="仿宋_GB2312"/>
          <w:sz w:val="28"/>
          <w:szCs w:val="28"/>
        </w:rPr>
      </w:pPr>
      <w:r>
        <w:rPr>
          <w:rFonts w:hint="eastAsia" w:ascii="仿宋" w:hAnsi="仿宋" w:eastAsia="仿宋" w:cs="仿宋_GB2312"/>
          <w:b/>
          <w:bCs/>
          <w:sz w:val="28"/>
          <w:szCs w:val="28"/>
        </w:rPr>
        <w:t>说明：</w:t>
      </w:r>
      <w:r>
        <w:rPr>
          <w:rFonts w:hint="eastAsia" w:ascii="仿宋" w:hAnsi="仿宋" w:eastAsia="仿宋" w:cs="仿宋_GB2312"/>
          <w:bCs/>
          <w:sz w:val="28"/>
          <w:szCs w:val="28"/>
        </w:rPr>
        <w:t>本次招标数量是</w:t>
      </w:r>
      <w:r>
        <w:rPr>
          <w:rFonts w:hint="eastAsia" w:ascii="仿宋" w:hAnsi="仿宋" w:eastAsia="仿宋" w:cs="仿宋_GB2312"/>
          <w:sz w:val="28"/>
          <w:szCs w:val="28"/>
        </w:rPr>
        <w:t>招标人在现有条件下该项目的大约需用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2、投标人须为一般纳税人或小规模纳税人</w:t>
      </w:r>
      <w:bookmarkStart w:id="0" w:name="_GoBack"/>
      <w:bookmarkEnd w:id="0"/>
      <w:r>
        <w:rPr>
          <w:rFonts w:hint="eastAsia" w:ascii="仿宋" w:hAnsi="仿宋" w:eastAsia="仿宋" w:cs="仿宋_GB2312"/>
          <w:sz w:val="28"/>
          <w:szCs w:val="28"/>
        </w:rPr>
        <w:t>。</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spacing w:line="560" w:lineRule="exact"/>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spacing w:line="560" w:lineRule="exact"/>
        <w:jc w:val="center"/>
        <w:rPr>
          <w:rFonts w:ascii="仿宋" w:hAnsi="仿宋" w:eastAsia="仿宋" w:cs="仿宋_GB2312"/>
          <w:b/>
          <w:sz w:val="36"/>
          <w:szCs w:val="36"/>
        </w:rPr>
      </w:pP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本次招标公告（包括后期如有对招标文件所作的澄清、修改等。）将在铜冠建筑安装股份有限公司网（http://www.tltgja.com.cn/）在线招标--物资招标上发布。招标公告请投标人自行下载。</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spacing w:line="560" w:lineRule="exact"/>
        <w:ind w:firstLine="560" w:firstLineChars="200"/>
        <w:rPr>
          <w:rFonts w:ascii="仿宋" w:hAnsi="仿宋" w:eastAsia="仿宋" w:cs="仿宋_GB2312"/>
          <w:sz w:val="28"/>
          <w:szCs w:val="28"/>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五、投标报名</w:t>
      </w:r>
    </w:p>
    <w:p>
      <w:pPr>
        <w:spacing w:line="560" w:lineRule="exact"/>
        <w:jc w:val="center"/>
        <w:rPr>
          <w:rFonts w:ascii="仿宋" w:hAnsi="仿宋" w:eastAsia="仿宋" w:cs="仿宋_GB2312"/>
          <w:b/>
          <w:sz w:val="36"/>
          <w:szCs w:val="36"/>
        </w:rPr>
      </w:pPr>
    </w:p>
    <w:p>
      <w:pPr>
        <w:spacing w:line="560" w:lineRule="exact"/>
        <w:ind w:firstLine="565" w:firstLineChars="202"/>
        <w:rPr>
          <w:rFonts w:ascii="仿宋" w:hAnsi="仿宋" w:eastAsia="仿宋" w:cs="仿宋_GB2312"/>
          <w:b/>
          <w:bCs/>
          <w:sz w:val="28"/>
          <w:szCs w:val="28"/>
        </w:rPr>
      </w:pPr>
      <w:r>
        <w:rPr>
          <w:rFonts w:hint="eastAsia" w:ascii="仿宋" w:hAnsi="仿宋" w:eastAsia="仿宋" w:cs="仿宋_GB2312"/>
          <w:sz w:val="28"/>
          <w:szCs w:val="28"/>
        </w:rPr>
        <w:t>1、各投标人须在指定时间前至铜冠建安公司报名，同时通过投标报名的资格审查。</w:t>
      </w:r>
      <w:r>
        <w:rPr>
          <w:rFonts w:hint="eastAsia" w:ascii="仿宋" w:hAnsi="仿宋" w:eastAsia="仿宋" w:cs="仿宋_GB2312"/>
          <w:b/>
          <w:bCs/>
          <w:sz w:val="28"/>
          <w:szCs w:val="28"/>
        </w:rPr>
        <w:t>因投标人未在指定要求时间报名或未通过资格审查的视为无效投标。</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10</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11</w:t>
      </w:r>
      <w:r>
        <w:rPr>
          <w:rFonts w:hint="eastAsia" w:ascii="仿宋" w:hAnsi="仿宋" w:eastAsia="仿宋" w:cs="仿宋_GB2312"/>
          <w:sz w:val="28"/>
          <w:szCs w:val="28"/>
          <w:u w:val="single"/>
        </w:rPr>
        <w:t>日12:00止</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铜冠建安公司物资部（黄山大道南段879号主楼四楼）</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5、联系人：</w:t>
      </w:r>
      <w:r>
        <w:rPr>
          <w:rFonts w:hint="eastAsia" w:ascii="仿宋" w:hAnsi="仿宋" w:eastAsia="仿宋" w:cs="仿宋_GB2312"/>
          <w:bCs/>
          <w:sz w:val="28"/>
          <w:szCs w:val="28"/>
          <w:u w:val="single"/>
        </w:rPr>
        <w:t>叶明陵（13865621916）、任凡（15656263008）</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六、保证金</w:t>
      </w:r>
    </w:p>
    <w:p>
      <w:pPr>
        <w:spacing w:line="560" w:lineRule="exact"/>
        <w:jc w:val="center"/>
        <w:rPr>
          <w:rFonts w:ascii="仿宋" w:hAnsi="仿宋" w:eastAsia="仿宋" w:cs="仿宋_GB2312"/>
          <w:b/>
          <w:sz w:val="36"/>
          <w:szCs w:val="36"/>
        </w:rPr>
      </w:pPr>
    </w:p>
    <w:p>
      <w:pPr>
        <w:spacing w:line="560" w:lineRule="exact"/>
        <w:ind w:firstLine="560" w:firstLineChars="200"/>
        <w:jc w:val="left"/>
        <w:rPr>
          <w:rFonts w:ascii="仿宋" w:hAnsi="仿宋" w:eastAsia="仿宋" w:cs="仿宋_GB2312"/>
          <w:b/>
          <w:bCs/>
          <w:color w:val="C00000"/>
          <w:sz w:val="28"/>
          <w:szCs w:val="28"/>
        </w:rPr>
      </w:pPr>
      <w:r>
        <w:rPr>
          <w:rFonts w:hint="eastAsia" w:ascii="仿宋" w:hAnsi="仿宋" w:eastAsia="仿宋" w:cs="仿宋_GB2312"/>
          <w:sz w:val="28"/>
          <w:szCs w:val="28"/>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8"/>
          <w:szCs w:val="28"/>
        </w:rPr>
        <w:t>证金</w:t>
      </w:r>
      <w:r>
        <w:rPr>
          <w:rFonts w:hint="eastAsia" w:ascii="仿宋" w:hAnsi="仿宋" w:eastAsia="仿宋" w:cs="仿宋_GB2312"/>
          <w:b/>
          <w:bCs/>
          <w:color w:val="000000"/>
          <w:sz w:val="28"/>
          <w:szCs w:val="28"/>
          <w:highlight w:val="none"/>
          <w:u w:val="single"/>
          <w:lang w:eastAsia="zh-CN"/>
        </w:rPr>
        <w:t>贰</w:t>
      </w:r>
      <w:r>
        <w:rPr>
          <w:rFonts w:hint="eastAsia" w:ascii="仿宋" w:hAnsi="仿宋" w:eastAsia="仿宋" w:cs="仿宋_GB2312"/>
          <w:b/>
          <w:bCs/>
          <w:color w:val="000000"/>
          <w:sz w:val="28"/>
          <w:szCs w:val="28"/>
          <w:highlight w:val="none"/>
          <w:u w:val="single"/>
        </w:rPr>
        <w:t>万</w:t>
      </w:r>
      <w:r>
        <w:rPr>
          <w:rFonts w:hint="eastAsia" w:ascii="仿宋" w:hAnsi="仿宋" w:eastAsia="仿宋" w:cs="仿宋_GB2312"/>
          <w:b/>
          <w:bCs/>
          <w:color w:val="000000"/>
          <w:sz w:val="28"/>
          <w:szCs w:val="28"/>
          <w:u w:val="single"/>
        </w:rPr>
        <w:t>元整；</w:t>
      </w:r>
      <w:r>
        <w:rPr>
          <w:rFonts w:hint="eastAsia" w:ascii="仿宋" w:hAnsi="仿宋" w:eastAsia="仿宋" w:cs="仿宋_GB2312"/>
          <w:sz w:val="28"/>
          <w:szCs w:val="28"/>
        </w:rPr>
        <w:t>（</w:t>
      </w:r>
      <w:r>
        <w:rPr>
          <w:rFonts w:hint="eastAsia" w:ascii="仿宋" w:hAnsi="仿宋" w:eastAsia="仿宋" w:cs="仿宋_GB2312"/>
          <w:sz w:val="28"/>
          <w:szCs w:val="28"/>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8"/>
          <w:szCs w:val="28"/>
        </w:rPr>
        <w:t>）</w:t>
      </w:r>
      <w:r>
        <w:rPr>
          <w:rFonts w:hint="eastAsia" w:ascii="仿宋" w:hAnsi="仿宋" w:eastAsia="仿宋" w:cs="仿宋_GB2312"/>
          <w:b/>
          <w:bCs/>
          <w:sz w:val="28"/>
          <w:szCs w:val="28"/>
        </w:rPr>
        <w:t>无投标保证金或未出具投标保证金承诺书视为无效投标。</w:t>
      </w:r>
      <w:r>
        <w:rPr>
          <w:rFonts w:hint="eastAsia" w:ascii="仿宋" w:hAnsi="仿宋" w:eastAsia="仿宋" w:cs="仿宋_GB2312"/>
          <w:sz w:val="28"/>
          <w:szCs w:val="28"/>
        </w:rPr>
        <w:t>投标保证金须对公账户转账，不接受个人账户转账，同时要求注明</w:t>
      </w:r>
      <w:r>
        <w:rPr>
          <w:rFonts w:hint="eastAsia" w:ascii="仿宋" w:hAnsi="仿宋" w:eastAsia="仿宋" w:cs="仿宋_GB2312"/>
          <w:b/>
          <w:bCs/>
          <w:sz w:val="28"/>
          <w:szCs w:val="28"/>
          <w:u w:val="single"/>
        </w:rPr>
        <w:t>铜陵铜冠建安公司第二事业部</w:t>
      </w:r>
      <w:r>
        <w:rPr>
          <w:rFonts w:hint="eastAsia" w:ascii="仿宋" w:hAnsi="仿宋" w:eastAsia="仿宋" w:cs="仿宋_GB2312"/>
          <w:b/>
          <w:bCs/>
          <w:sz w:val="28"/>
          <w:szCs w:val="28"/>
          <w:u w:val="single"/>
          <w:lang w:eastAsia="zh-CN"/>
        </w:rPr>
        <w:t>全鑫矿业项目袋装水泥</w:t>
      </w:r>
      <w:r>
        <w:rPr>
          <w:rFonts w:hint="eastAsia" w:ascii="仿宋" w:hAnsi="仿宋" w:eastAsia="仿宋" w:cs="仿宋_GB2312"/>
          <w:b/>
          <w:bCs/>
          <w:sz w:val="28"/>
          <w:szCs w:val="28"/>
          <w:u w:val="single"/>
        </w:rPr>
        <w:t>TGJA-WZ-2023</w:t>
      </w:r>
      <w:r>
        <w:rPr>
          <w:rFonts w:hint="eastAsia" w:ascii="仿宋" w:hAnsi="仿宋" w:eastAsia="仿宋" w:cs="仿宋_GB2312"/>
          <w:b/>
          <w:bCs/>
          <w:sz w:val="28"/>
          <w:szCs w:val="28"/>
          <w:u w:val="single"/>
          <w:lang w:val="en-US" w:eastAsia="zh-CN"/>
        </w:rPr>
        <w:t>138-2</w:t>
      </w:r>
      <w:r>
        <w:rPr>
          <w:rFonts w:hint="eastAsia" w:ascii="仿宋" w:hAnsi="仿宋" w:eastAsia="仿宋" w:cs="仿宋_GB2312"/>
          <w:b/>
          <w:bCs/>
          <w:sz w:val="28"/>
          <w:szCs w:val="28"/>
          <w:u w:val="single"/>
        </w:rPr>
        <w:t>投标保证金。</w:t>
      </w:r>
    </w:p>
    <w:p>
      <w:pPr>
        <w:spacing w:line="560" w:lineRule="exact"/>
        <w:ind w:firstLine="562" w:firstLineChars="200"/>
        <w:jc w:val="left"/>
        <w:rPr>
          <w:rFonts w:ascii="仿宋" w:hAnsi="仿宋" w:eastAsia="仿宋" w:cs="仿宋_GB2312"/>
          <w:b/>
          <w:bCs/>
          <w:color w:val="C00000"/>
          <w:sz w:val="28"/>
          <w:szCs w:val="28"/>
        </w:rPr>
      </w:pPr>
      <w:r>
        <w:rPr>
          <w:rFonts w:hint="eastAsia" w:ascii="仿宋" w:hAnsi="仿宋" w:eastAsia="仿宋" w:cs="仿宋_GB2312"/>
          <w:b/>
          <w:bCs/>
          <w:color w:val="C00000"/>
          <w:sz w:val="28"/>
          <w:szCs w:val="28"/>
        </w:rPr>
        <w:t xml:space="preserve">2、下列任何情况发生时，投标保证金将被不予退还： </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 xml:space="preserve">（1）投标人在投标截止后至投标有效期内撤回投标文件的； </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（2）中标人未能在规定期限内按照招标文件签订合同协议；</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（3）签署合同后，未能在规定的时间内提供履约保证金；</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（4）投标人在招标中存在违规和违法行为的。</w:t>
      </w:r>
    </w:p>
    <w:p>
      <w:pPr>
        <w:spacing w:line="560" w:lineRule="exact"/>
        <w:ind w:firstLine="560" w:firstLineChars="200"/>
        <w:jc w:val="left"/>
        <w:rPr>
          <w:rFonts w:ascii="仿宋" w:hAnsi="仿宋" w:eastAsia="仿宋" w:cs="仿宋_GB2312"/>
          <w:sz w:val="28"/>
          <w:szCs w:val="28"/>
          <w:u w:val="single"/>
        </w:rPr>
      </w:pPr>
      <w:r>
        <w:rPr>
          <w:rFonts w:hint="eastAsia" w:ascii="仿宋" w:hAnsi="仿宋" w:eastAsia="仿宋" w:cs="仿宋_GB2312"/>
          <w:sz w:val="28"/>
          <w:szCs w:val="28"/>
        </w:rPr>
        <w:t>（5）中标人因自身原因放弃中标资格的。</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3、在签订合同后，中标人须交纳履约保证金。履约保证金金额为中标合同总金额的 </w:t>
      </w:r>
      <w:r>
        <w:rPr>
          <w:rFonts w:hint="eastAsia" w:ascii="仿宋" w:hAnsi="仿宋" w:eastAsia="仿宋" w:cs="仿宋_GB2312"/>
          <w:sz w:val="28"/>
          <w:szCs w:val="28"/>
          <w:u w:val="single"/>
        </w:rPr>
        <w:t xml:space="preserve">10% </w:t>
      </w:r>
      <w:r>
        <w:rPr>
          <w:rFonts w:hint="eastAsia" w:ascii="仿宋" w:hAnsi="仿宋" w:eastAsia="仿宋" w:cs="仿宋_GB2312"/>
          <w:sz w:val="28"/>
          <w:szCs w:val="28"/>
        </w:rPr>
        <w:t>（</w:t>
      </w:r>
      <w:r>
        <w:rPr>
          <w:rFonts w:hint="eastAsia" w:ascii="仿宋" w:hAnsi="仿宋" w:eastAsia="仿宋" w:cs="仿宋_GB2312"/>
          <w:sz w:val="28"/>
          <w:szCs w:val="28"/>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8"/>
          <w:szCs w:val="28"/>
        </w:rPr>
        <w:t>）</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4、招标人与中标人签订合同后</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日内，向未中标的投标人退还投标保证金（无息），中标人在签订合同并交纳履约保证金后退还投标保证金（无息）。</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5、公司对公账户信息</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账户名称：</w:t>
      </w:r>
      <w:r>
        <w:rPr>
          <w:rFonts w:hint="eastAsia" w:ascii="仿宋" w:hAnsi="仿宋" w:eastAsia="仿宋" w:cs="仿宋_GB2312"/>
          <w:sz w:val="28"/>
          <w:szCs w:val="28"/>
          <w:u w:val="single"/>
        </w:rPr>
        <w:t>铜陵有色金属集团铜冠建筑安装股份有限公司</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账    号：</w:t>
      </w:r>
      <w:r>
        <w:rPr>
          <w:rFonts w:hint="eastAsia" w:ascii="仿宋" w:hAnsi="仿宋" w:eastAsia="仿宋" w:cs="仿宋_GB2312"/>
          <w:sz w:val="28"/>
          <w:szCs w:val="28"/>
          <w:u w:val="single"/>
        </w:rPr>
        <w:t>1308024009200056147</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开 户 行：</w:t>
      </w:r>
      <w:r>
        <w:rPr>
          <w:rFonts w:hint="eastAsia" w:ascii="仿宋" w:hAnsi="仿宋" w:eastAsia="仿宋" w:cs="仿宋_GB2312"/>
          <w:sz w:val="28"/>
          <w:szCs w:val="28"/>
          <w:u w:val="single"/>
        </w:rPr>
        <w:t>工行铜陵铜都支行</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七、 投标文件的递交</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10</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12</w:t>
      </w:r>
      <w:r>
        <w:rPr>
          <w:rFonts w:hint="eastAsia" w:ascii="仿宋" w:hAnsi="仿宋" w:eastAsia="仿宋" w:cs="仿宋_GB2312"/>
          <w:sz w:val="28"/>
          <w:szCs w:val="28"/>
          <w:u w:val="single"/>
        </w:rPr>
        <w:t>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2、投标文件递交地点：铜陵有色金属集团铜冠建筑安装股份有限公司物资部（黄山大道南段879号主楼四楼）</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b/>
          <w:sz w:val="36"/>
          <w:szCs w:val="36"/>
        </w:rPr>
      </w:pPr>
      <w:r>
        <w:rPr>
          <w:rFonts w:hint="eastAsia" w:ascii="仿宋" w:hAnsi="仿宋" w:eastAsia="仿宋" w:cs="仿宋_GB2312"/>
          <w:sz w:val="28"/>
          <w:szCs w:val="28"/>
        </w:rPr>
        <w:t>4、逾期送达的或未按规定送达指定地点的投标文件，招标人不予受理。</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八、投标人须知</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1、本次招标材料的质量相关要求</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（1）材料质量要求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详见报价单。</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（3）若达不到招标人要求的，中标人无条件将该车货物拉回且不计货款，动用招标人机械装货收取</w:t>
      </w:r>
      <w:r>
        <w:rPr>
          <w:rFonts w:hint="eastAsia" w:ascii="仿宋" w:hAnsi="仿宋" w:eastAsia="仿宋" w:cs="仿宋_GB2312"/>
          <w:b/>
          <w:bCs/>
          <w:color w:val="FF0000"/>
          <w:sz w:val="28"/>
          <w:szCs w:val="28"/>
          <w:u w:val="single"/>
        </w:rPr>
        <w:t>500</w:t>
      </w:r>
      <w:r>
        <w:rPr>
          <w:rFonts w:hint="eastAsia" w:ascii="仿宋" w:hAnsi="仿宋" w:eastAsia="仿宋" w:cs="仿宋_GB2312"/>
          <w:sz w:val="28"/>
          <w:szCs w:val="28"/>
        </w:rPr>
        <w:t>元/车装车费。</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8"/>
          <w:szCs w:val="28"/>
          <w:u w:val="single"/>
        </w:rPr>
        <w:t>一年内</w:t>
      </w:r>
      <w:r>
        <w:rPr>
          <w:rFonts w:hint="eastAsia" w:ascii="仿宋" w:hAnsi="仿宋" w:eastAsia="仿宋" w:cs="仿宋_GB2312"/>
          <w:sz w:val="28"/>
          <w:szCs w:val="28"/>
        </w:rPr>
        <w:t>禁止参加铜冠建安公司招标。</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2、交货地点</w:t>
      </w:r>
    </w:p>
    <w:p>
      <w:pPr>
        <w:spacing w:line="560" w:lineRule="exact"/>
        <w:ind w:firstLine="638" w:firstLineChars="228"/>
        <w:rPr>
          <w:rFonts w:hint="eastAsia" w:ascii="仿宋" w:hAnsi="仿宋" w:eastAsia="仿宋" w:cs="仿宋_GB2312"/>
          <w:sz w:val="28"/>
          <w:szCs w:val="28"/>
          <w:lang w:eastAsia="zh-CN"/>
        </w:rPr>
      </w:pPr>
      <w:r>
        <w:rPr>
          <w:rFonts w:hint="eastAsia" w:ascii="仿宋" w:hAnsi="仿宋" w:eastAsia="仿宋" w:cs="仿宋_GB2312"/>
          <w:sz w:val="28"/>
          <w:szCs w:val="28"/>
        </w:rPr>
        <w:t>材料送至</w:t>
      </w:r>
      <w:r>
        <w:rPr>
          <w:rFonts w:hint="eastAsia" w:ascii="仿宋" w:hAnsi="仿宋" w:eastAsia="仿宋" w:cs="仿宋_GB2312"/>
          <w:sz w:val="28"/>
          <w:szCs w:val="28"/>
          <w:lang w:eastAsia="zh-CN"/>
        </w:rPr>
        <w:t>宣城</w:t>
      </w:r>
      <w:r>
        <w:rPr>
          <w:rFonts w:hint="eastAsia" w:ascii="仿宋" w:hAnsi="仿宋" w:eastAsia="仿宋" w:cs="仿宋_GB2312"/>
          <w:sz w:val="28"/>
          <w:szCs w:val="28"/>
        </w:rPr>
        <w:t>市</w:t>
      </w:r>
      <w:r>
        <w:rPr>
          <w:rFonts w:hint="eastAsia" w:ascii="仿宋" w:hAnsi="仿宋" w:eastAsia="仿宋" w:cs="仿宋_GB2312"/>
          <w:sz w:val="28"/>
          <w:szCs w:val="28"/>
          <w:lang w:eastAsia="zh-CN"/>
        </w:rPr>
        <w:t>全鑫矿业</w:t>
      </w:r>
      <w:r>
        <w:rPr>
          <w:rFonts w:hint="eastAsia" w:ascii="仿宋" w:hAnsi="仿宋" w:eastAsia="仿宋" w:cs="仿宋_GB2312"/>
          <w:sz w:val="28"/>
          <w:szCs w:val="28"/>
        </w:rPr>
        <w:t>项目现场。</w:t>
      </w:r>
      <w:r>
        <w:rPr>
          <w:rFonts w:hint="eastAsia" w:ascii="仿宋" w:hAnsi="仿宋" w:eastAsia="仿宋" w:cs="仿宋_GB2312"/>
          <w:sz w:val="28"/>
          <w:szCs w:val="28"/>
          <w:lang w:eastAsia="zh-CN"/>
        </w:rPr>
        <w:t>收货人：高才华，</w:t>
      </w:r>
      <w:r>
        <w:rPr>
          <w:rFonts w:hint="eastAsia" w:ascii="仿宋" w:hAnsi="仿宋" w:eastAsia="仿宋" w:cs="仿宋_GB2312"/>
          <w:sz w:val="28"/>
          <w:szCs w:val="28"/>
          <w:lang w:val="en-US" w:eastAsia="zh-CN"/>
        </w:rPr>
        <w:t>13955922717</w:t>
      </w:r>
      <w:r>
        <w:rPr>
          <w:rFonts w:hint="eastAsia" w:ascii="仿宋" w:hAnsi="仿宋" w:eastAsia="仿宋" w:cs="仿宋_GB2312"/>
          <w:sz w:val="28"/>
          <w:szCs w:val="28"/>
          <w:lang w:eastAsia="zh-CN"/>
        </w:rPr>
        <w:t>。</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3、运输要求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由中标人负责运输，运输过程中未按相关安全、环保等要求所导致的一切安全环保生产事故由中标人承担责任。</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4、报价相关要求</w:t>
      </w:r>
    </w:p>
    <w:p>
      <w:pPr>
        <w:spacing w:line="560" w:lineRule="exact"/>
        <w:ind w:firstLine="560" w:firstLineChars="200"/>
        <w:rPr>
          <w:rFonts w:ascii="仿宋" w:hAnsi="仿宋" w:eastAsia="仿宋" w:cs="仿宋_GB2312"/>
          <w:sz w:val="28"/>
          <w:szCs w:val="28"/>
          <w:highlight w:val="none"/>
        </w:rPr>
      </w:pPr>
      <w:r>
        <w:rPr>
          <w:rFonts w:hint="eastAsia" w:ascii="仿宋" w:hAnsi="仿宋" w:eastAsia="仿宋" w:cs="仿宋_GB2312"/>
          <w:sz w:val="28"/>
          <w:szCs w:val="28"/>
        </w:rPr>
        <w:t>（1）本</w:t>
      </w:r>
      <w:r>
        <w:rPr>
          <w:rFonts w:hint="eastAsia" w:ascii="仿宋" w:hAnsi="仿宋" w:eastAsia="仿宋" w:cs="仿宋_GB2312"/>
          <w:sz w:val="28"/>
          <w:szCs w:val="28"/>
          <w:highlight w:val="none"/>
        </w:rPr>
        <w:t>次招标报价为含13%增值税含运费</w:t>
      </w:r>
      <w:r>
        <w:rPr>
          <w:rFonts w:hint="eastAsia" w:ascii="仿宋" w:hAnsi="仿宋" w:eastAsia="仿宋" w:cs="仿宋_GB2312"/>
          <w:sz w:val="28"/>
          <w:szCs w:val="28"/>
          <w:highlight w:val="none"/>
          <w:lang w:eastAsia="zh-CN"/>
        </w:rPr>
        <w:t>含装卸</w:t>
      </w:r>
      <w:r>
        <w:rPr>
          <w:rFonts w:hint="eastAsia" w:ascii="仿宋" w:hAnsi="仿宋" w:eastAsia="仿宋" w:cs="仿宋_GB2312"/>
          <w:sz w:val="28"/>
          <w:szCs w:val="28"/>
          <w:highlight w:val="none"/>
        </w:rPr>
        <w:t>一票制价格；</w:t>
      </w:r>
    </w:p>
    <w:p>
      <w:pPr>
        <w:numPr>
          <w:ilvl w:val="0"/>
          <w:numId w:val="2"/>
        </w:numPr>
        <w:spacing w:line="560" w:lineRule="exact"/>
        <w:ind w:left="560"/>
        <w:rPr>
          <w:rFonts w:hint="eastAsia" w:ascii="仿宋" w:hAnsi="仿宋" w:eastAsia="仿宋" w:cs="仿宋"/>
          <w:sz w:val="28"/>
          <w:szCs w:val="28"/>
          <w:highlight w:val="none"/>
        </w:rPr>
      </w:pPr>
      <w:r>
        <w:rPr>
          <w:rFonts w:hint="eastAsia" w:ascii="仿宋" w:hAnsi="仿宋" w:eastAsia="仿宋" w:cs="仿宋"/>
          <w:sz w:val="28"/>
          <w:szCs w:val="28"/>
          <w:highlight w:val="none"/>
        </w:rPr>
        <w:t>一旦中标，合同期内价格不予调整。</w:t>
      </w:r>
    </w:p>
    <w:p>
      <w:pPr>
        <w:spacing w:line="560" w:lineRule="exact"/>
        <w:rPr>
          <w:rFonts w:ascii="仿宋" w:hAnsi="仿宋" w:eastAsia="仿宋" w:cs="仿宋_GB2312"/>
          <w:sz w:val="28"/>
          <w:szCs w:val="28"/>
        </w:rPr>
      </w:pPr>
      <w:r>
        <w:rPr>
          <w:rFonts w:hint="eastAsia" w:ascii="仿宋" w:hAnsi="仿宋" w:eastAsia="仿宋" w:cs="仿宋"/>
          <w:sz w:val="28"/>
          <w:szCs w:val="28"/>
        </w:rPr>
        <w:t xml:space="preserve">    5、标书相关要求</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8"/>
          <w:szCs w:val="28"/>
        </w:rPr>
        <w:t>以上事项不符合要求的视为无效投标。</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（2）投标文件密封袋封口处应密封完整，加盖投标单位公章，并且注明招标编号及材料名称。因投标人制作、密封、寄送报价文件</w:t>
      </w:r>
      <w:r>
        <w:rPr>
          <w:rFonts w:hint="eastAsia" w:ascii="仿宋" w:hAnsi="仿宋" w:eastAsia="仿宋" w:cs="仿宋_GB2312"/>
          <w:b/>
          <w:bCs/>
          <w:sz w:val="28"/>
          <w:szCs w:val="28"/>
        </w:rPr>
        <w:t>不符合要求的视为无效投标。</w:t>
      </w:r>
    </w:p>
    <w:p>
      <w:pPr>
        <w:spacing w:line="560" w:lineRule="exact"/>
        <w:ind w:firstLine="638" w:firstLineChars="228"/>
        <w:rPr>
          <w:rFonts w:ascii="仿宋" w:hAnsi="仿宋" w:eastAsia="仿宋" w:cs="仿宋_GB2312"/>
          <w:b/>
          <w:bCs/>
          <w:sz w:val="28"/>
          <w:szCs w:val="28"/>
        </w:rPr>
      </w:pPr>
      <w:r>
        <w:rPr>
          <w:rFonts w:hint="eastAsia" w:ascii="仿宋" w:hAnsi="仿宋" w:eastAsia="仿宋" w:cs="仿宋_GB2312"/>
          <w:sz w:val="28"/>
          <w:szCs w:val="28"/>
        </w:rPr>
        <w:t>（3）投标保证金汇款凭证复印件必须内附在投标文件中。</w:t>
      </w:r>
      <w:r>
        <w:rPr>
          <w:rFonts w:hint="eastAsia" w:ascii="仿宋" w:hAnsi="仿宋" w:eastAsia="仿宋" w:cs="仿宋_GB2312"/>
          <w:b/>
          <w:bCs/>
          <w:sz w:val="28"/>
          <w:szCs w:val="28"/>
        </w:rPr>
        <w:t>无投标保证金或投标保证金汇款凭证复印件未内附在投标文件中的，视为无效投标。</w:t>
      </w:r>
    </w:p>
    <w:p>
      <w:pPr>
        <w:spacing w:line="560" w:lineRule="exact"/>
        <w:ind w:firstLine="565" w:firstLineChars="202"/>
        <w:rPr>
          <w:rFonts w:ascii="仿宋" w:hAnsi="仿宋" w:eastAsia="仿宋" w:cs="仿宋_GB2312"/>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8"/>
          <w:szCs w:val="28"/>
        </w:rPr>
        <w:t>以上事项不符合要求的视为无效投标。</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（5）装订要求</w:t>
      </w:r>
    </w:p>
    <w:p>
      <w:pPr>
        <w:spacing w:line="560" w:lineRule="exact"/>
        <w:ind w:firstLine="565" w:firstLineChars="202"/>
        <w:rPr>
          <w:rFonts w:ascii="仿宋" w:hAnsi="仿宋" w:eastAsia="仿宋" w:cs="仿宋_GB2312"/>
          <w:sz w:val="28"/>
          <w:szCs w:val="28"/>
        </w:rPr>
      </w:pPr>
      <w:r>
        <w:rPr>
          <w:rFonts w:hint="eastAsia" w:ascii="仿宋" w:hAnsi="仿宋" w:eastAsia="仿宋" w:cs="仿宋_GB2312"/>
          <w:sz w:val="28"/>
          <w:szCs w:val="28"/>
          <w:u w:val="single"/>
        </w:rPr>
        <w:t>密封袋封口处应密封严实，并应加盖投标人公章。未按装订要求装订的，招标单位不负责相关保密要求，</w:t>
      </w:r>
      <w:r>
        <w:rPr>
          <w:rFonts w:hint="eastAsia" w:ascii="仿宋" w:hAnsi="仿宋" w:eastAsia="仿宋" w:cs="仿宋_GB2312"/>
          <w:b/>
          <w:bCs/>
          <w:sz w:val="28"/>
          <w:szCs w:val="28"/>
          <w:u w:val="single"/>
        </w:rPr>
        <w:t>同时视为无效投标</w:t>
      </w:r>
      <w:r>
        <w:rPr>
          <w:rFonts w:hint="eastAsia" w:ascii="仿宋" w:hAnsi="仿宋" w:eastAsia="仿宋" w:cs="仿宋_GB2312"/>
          <w:sz w:val="28"/>
          <w:szCs w:val="28"/>
          <w:u w:val="single"/>
        </w:rPr>
        <w:t>。</w:t>
      </w:r>
    </w:p>
    <w:p>
      <w:pPr>
        <w:numPr>
          <w:ilvl w:val="0"/>
          <w:numId w:val="3"/>
        </w:num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结算数量</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按现场验收人员签收的送货单为准。</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7、结算价格</w:t>
      </w:r>
    </w:p>
    <w:p>
      <w:pPr>
        <w:spacing w:line="560" w:lineRule="exact"/>
        <w:rPr>
          <w:rFonts w:ascii="仿宋" w:hAnsi="仿宋" w:eastAsia="仿宋" w:cs="仿宋"/>
          <w:spacing w:val="-17"/>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各投标单位报价须谨慎，一旦中标不得以任何理由变更报价</w:t>
      </w:r>
      <w:r>
        <w:rPr>
          <w:rFonts w:hint="eastAsia" w:ascii="仿宋" w:hAnsi="仿宋" w:eastAsia="仿宋" w:cs="仿宋"/>
          <w:spacing w:val="-17"/>
          <w:sz w:val="28"/>
          <w:szCs w:val="28"/>
          <w:u w:val="single"/>
        </w:rPr>
        <w:t>。</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8、付款方式</w:t>
      </w:r>
    </w:p>
    <w:p>
      <w:pPr>
        <w:spacing w:line="560" w:lineRule="exact"/>
        <w:ind w:firstLine="560" w:firstLineChars="200"/>
        <w:rPr>
          <w:rFonts w:hint="default" w:ascii="仿宋" w:hAnsi="仿宋" w:eastAsia="仿宋" w:cs="仿宋_GB2312"/>
          <w:sz w:val="28"/>
          <w:szCs w:val="28"/>
          <w:lang w:val="en-US" w:eastAsia="zh-CN"/>
        </w:rPr>
      </w:pPr>
      <w:r>
        <w:rPr>
          <w:rFonts w:hint="eastAsia" w:ascii="仿宋" w:hAnsi="仿宋" w:eastAsia="仿宋" w:cs="仿宋_GB2312"/>
          <w:color w:val="000000" w:themeColor="text1"/>
          <w:sz w:val="28"/>
          <w:szCs w:val="28"/>
          <w:u w:val="single"/>
          <w14:textFill>
            <w14:solidFill>
              <w14:schemeClr w14:val="tx1"/>
            </w14:solidFill>
          </w14:textFill>
        </w:rPr>
        <w:t>合同签订后，</w:t>
      </w:r>
      <w:r>
        <w:rPr>
          <w:rFonts w:hint="eastAsia" w:ascii="仿宋" w:hAnsi="仿宋" w:eastAsia="仿宋" w:cs="仿宋"/>
          <w:color w:val="000000" w:themeColor="text1"/>
          <w:sz w:val="28"/>
          <w:szCs w:val="28"/>
          <w:highlight w:val="none"/>
          <w:u w:val="single"/>
          <w14:textFill>
            <w14:solidFill>
              <w14:schemeClr w14:val="tx1"/>
            </w14:solidFill>
          </w14:textFill>
        </w:rPr>
        <w:t>货到验收合格后开具发票，入账次月支付</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u w:val="single"/>
          <w14:textFill>
            <w14:solidFill>
              <w14:schemeClr w14:val="tx1"/>
            </w14:solidFill>
          </w14:textFill>
        </w:rPr>
        <w:t>0%，春节前支付至80%，剩余20%该春节后两年内付清。</w:t>
      </w:r>
      <w:r>
        <w:rPr>
          <w:rFonts w:hint="eastAsia" w:ascii="仿宋" w:hAnsi="仿宋" w:eastAsia="仿宋" w:cs="仿宋"/>
          <w:i w:val="0"/>
          <w:iCs w:val="0"/>
          <w:caps w:val="0"/>
          <w:color w:val="171A1D"/>
          <w:spacing w:val="0"/>
          <w:sz w:val="28"/>
          <w:szCs w:val="28"/>
          <w:highlight w:val="none"/>
          <w:u w:val="single"/>
          <w:shd w:val="clear" w:color="auto" w:fill="FFFFFF"/>
        </w:rPr>
        <w:t>货款以对公转账方式支付至供方</w:t>
      </w:r>
      <w:r>
        <w:rPr>
          <w:rFonts w:hint="eastAsia" w:ascii="仿宋" w:hAnsi="仿宋" w:eastAsia="仿宋" w:cs="仿宋"/>
          <w:i w:val="0"/>
          <w:iCs w:val="0"/>
          <w:caps w:val="0"/>
          <w:color w:val="171A1D"/>
          <w:spacing w:val="0"/>
          <w:sz w:val="28"/>
          <w:szCs w:val="28"/>
          <w:highlight w:val="none"/>
          <w:u w:val="single"/>
          <w:shd w:val="clear" w:color="auto" w:fill="FFFFFF"/>
          <w:lang w:eastAsia="zh-CN"/>
        </w:rPr>
        <w:t>对公</w:t>
      </w:r>
      <w:r>
        <w:rPr>
          <w:rFonts w:hint="eastAsia" w:ascii="仿宋" w:hAnsi="仿宋" w:eastAsia="仿宋" w:cs="仿宋"/>
          <w:i w:val="0"/>
          <w:iCs w:val="0"/>
          <w:caps w:val="0"/>
          <w:color w:val="171A1D"/>
          <w:spacing w:val="0"/>
          <w:sz w:val="28"/>
          <w:szCs w:val="28"/>
          <w:highlight w:val="none"/>
          <w:u w:val="single"/>
          <w:shd w:val="clear" w:color="auto" w:fill="FFFFFF"/>
        </w:rPr>
        <w:t>账户，</w:t>
      </w:r>
      <w:r>
        <w:rPr>
          <w:rFonts w:hint="eastAsia" w:ascii="仿宋" w:hAnsi="仿宋" w:eastAsia="仿宋" w:cs="仿宋"/>
          <w:i w:val="0"/>
          <w:iCs w:val="0"/>
          <w:caps w:val="0"/>
          <w:color w:val="171A1D"/>
          <w:spacing w:val="0"/>
          <w:sz w:val="28"/>
          <w:szCs w:val="28"/>
          <w:highlight w:val="none"/>
          <w:u w:val="single"/>
          <w:shd w:val="clear" w:color="auto" w:fill="FFFFFF"/>
          <w:lang w:eastAsia="zh-CN"/>
        </w:rPr>
        <w:t>支付</w:t>
      </w:r>
      <w:r>
        <w:rPr>
          <w:rFonts w:hint="eastAsia" w:ascii="仿宋" w:hAnsi="仿宋" w:eastAsia="仿宋" w:cs="仿宋"/>
          <w:i w:val="0"/>
          <w:iCs w:val="0"/>
          <w:caps w:val="0"/>
          <w:color w:val="171A1D"/>
          <w:spacing w:val="0"/>
          <w:sz w:val="28"/>
          <w:szCs w:val="28"/>
          <w:highlight w:val="none"/>
          <w:u w:val="single"/>
          <w:shd w:val="clear" w:color="auto" w:fill="FFFFFF"/>
        </w:rPr>
        <w:t>电汇</w:t>
      </w:r>
      <w:r>
        <w:rPr>
          <w:rFonts w:hint="eastAsia" w:ascii="仿宋" w:hAnsi="仿宋" w:eastAsia="仿宋" w:cs="仿宋"/>
          <w:i w:val="0"/>
          <w:iCs w:val="0"/>
          <w:caps w:val="0"/>
          <w:color w:val="171A1D"/>
          <w:spacing w:val="0"/>
          <w:sz w:val="28"/>
          <w:szCs w:val="28"/>
          <w:highlight w:val="none"/>
          <w:u w:val="single"/>
          <w:shd w:val="clear" w:color="auto" w:fill="FFFFFF"/>
          <w:lang w:eastAsia="zh-CN"/>
        </w:rPr>
        <w:t>或不超过合同总金额</w:t>
      </w:r>
      <w:r>
        <w:rPr>
          <w:rFonts w:hint="eastAsia" w:ascii="仿宋" w:hAnsi="仿宋" w:eastAsia="仿宋" w:cs="仿宋"/>
          <w:i w:val="0"/>
          <w:iCs w:val="0"/>
          <w:caps w:val="0"/>
          <w:color w:val="171A1D"/>
          <w:spacing w:val="0"/>
          <w:sz w:val="28"/>
          <w:szCs w:val="28"/>
          <w:highlight w:val="none"/>
          <w:u w:val="single"/>
          <w:shd w:val="clear" w:color="auto" w:fill="FFFFFF"/>
          <w:lang w:val="en-US" w:eastAsia="zh-CN"/>
        </w:rPr>
        <w:t>50%的6个月内银行电子承兑</w:t>
      </w:r>
      <w:r>
        <w:rPr>
          <w:rFonts w:hint="eastAsia" w:ascii="仿宋" w:hAnsi="仿宋" w:eastAsia="仿宋" w:cs="仿宋"/>
          <w:i w:val="0"/>
          <w:iCs w:val="0"/>
          <w:caps w:val="0"/>
          <w:color w:val="171A1D"/>
          <w:spacing w:val="0"/>
          <w:sz w:val="28"/>
          <w:szCs w:val="28"/>
          <w:highlight w:val="none"/>
          <w:u w:val="single"/>
          <w:shd w:val="clear" w:color="auto" w:fill="FFFFFF"/>
        </w:rPr>
        <w:t>。</w:t>
      </w: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r>
        <w:rPr>
          <w:rFonts w:hint="eastAsia" w:ascii="仿宋" w:hAnsi="仿宋" w:eastAsia="仿宋" w:cs="仿宋_GB2312"/>
          <w:b/>
          <w:sz w:val="36"/>
          <w:szCs w:val="36"/>
        </w:rPr>
        <w:t>九、评标及中标履约要求</w:t>
      </w:r>
    </w:p>
    <w:p>
      <w:pPr>
        <w:spacing w:line="520" w:lineRule="exact"/>
        <w:rPr>
          <w:rFonts w:ascii="仿宋" w:hAnsi="仿宋" w:eastAsia="仿宋" w:cs="仿宋_GB2312"/>
          <w:b/>
          <w:sz w:val="36"/>
          <w:szCs w:val="36"/>
        </w:rPr>
      </w:pP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1、评标由铜冠建安公司纪委随机临时确定评委并组建的评标委员会负责。</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本次评标以价格为评标依据，采取“合理低价法”评标。即以经评委会审核，剔除偏离市场行情较大的恶意报价后的报价进行排序，最低价报价单位确定为预中标单位。</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4、中标候选人推荐：</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u w:val="single"/>
        </w:rPr>
        <w:t>评标委员会依据评标结果，推荐一名中标候选人</w:t>
      </w:r>
      <w:r>
        <w:rPr>
          <w:rFonts w:hint="eastAsia" w:ascii="仿宋" w:hAnsi="仿宋" w:eastAsia="仿宋" w:cs="仿宋_GB2312"/>
          <w:sz w:val="28"/>
          <w:szCs w:val="28"/>
        </w:rPr>
        <w:t>。</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日内，按照招标文件和中标人的投标文件订立书面合同，招标人和中标人不得再行订立背离本次招标实质性内容的其他协议。</w:t>
      </w: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十、纪律和监督</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一经确认将取消其今后参加铜冠建安公司招标的资格，列入供应商黑名单。</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十一、法定代表人授权书</w:t>
      </w:r>
    </w:p>
    <w:p>
      <w:pPr>
        <w:pStyle w:val="20"/>
        <w:spacing w:line="560" w:lineRule="exact"/>
        <w:rPr>
          <w:rFonts w:ascii="仿宋" w:hAnsi="仿宋" w:eastAsia="仿宋"/>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560" w:lineRule="exact"/>
        <w:ind w:firstLine="480" w:firstLineChars="200"/>
        <w:rPr>
          <w:rFonts w:ascii="仿宋" w:hAnsi="仿宋" w:eastAsia="仿宋"/>
          <w:sz w:val="24"/>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本授权书于______年___月___日签字生效，特此声明。</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代理人情况：</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身份证号：____________________</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    编：_____________________</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    真：_____________________</w:t>
      </w:r>
    </w:p>
    <w:p>
      <w:pPr>
        <w:spacing w:line="560" w:lineRule="exact"/>
        <w:ind w:firstLine="560" w:firstLineChars="200"/>
        <w:rPr>
          <w:rFonts w:ascii="仿宋" w:hAnsi="仿宋" w:eastAsia="仿宋" w:cs="仿宋_GB2312"/>
          <w:sz w:val="28"/>
          <w:szCs w:val="28"/>
        </w:rPr>
      </w:pPr>
    </w:p>
    <w:p>
      <w:pPr>
        <w:spacing w:line="560" w:lineRule="exact"/>
        <w:ind w:firstLine="5600" w:firstLineChars="2000"/>
        <w:rPr>
          <w:rFonts w:ascii="仿宋" w:hAnsi="仿宋" w:eastAsia="仿宋" w:cs="仿宋_GB2312"/>
          <w:sz w:val="28"/>
          <w:szCs w:val="28"/>
        </w:rPr>
      </w:pPr>
      <w:r>
        <w:rPr>
          <w:rFonts w:hint="eastAsia" w:ascii="仿宋" w:hAnsi="仿宋" w:eastAsia="仿宋" w:cs="仿宋_GB2312"/>
          <w:sz w:val="28"/>
          <w:szCs w:val="28"/>
        </w:rPr>
        <w:t>法定代表人签字：</w:t>
      </w:r>
    </w:p>
    <w:p>
      <w:pPr>
        <w:spacing w:line="560" w:lineRule="exact"/>
        <w:ind w:firstLine="5600" w:firstLineChars="2000"/>
        <w:rPr>
          <w:rFonts w:ascii="仿宋" w:hAnsi="仿宋" w:eastAsia="仿宋" w:cs="仿宋_GB2312"/>
          <w:sz w:val="28"/>
          <w:szCs w:val="28"/>
        </w:rPr>
      </w:pPr>
      <w:r>
        <w:rPr>
          <w:rFonts w:hint="eastAsia" w:ascii="仿宋" w:hAnsi="仿宋" w:eastAsia="仿宋" w:cs="仿宋_GB2312"/>
          <w:sz w:val="28"/>
          <w:szCs w:val="28"/>
        </w:rPr>
        <w:t>单  位  盖  章：</w:t>
      </w:r>
    </w:p>
    <w:p>
      <w:pPr>
        <w:spacing w:line="560" w:lineRule="exact"/>
        <w:ind w:firstLine="560" w:firstLineChars="200"/>
        <w:rPr>
          <w:rFonts w:ascii="仿宋" w:hAnsi="仿宋" w:eastAsia="仿宋" w:cs="仿宋_GB2312"/>
          <w:sz w:val="28"/>
          <w:szCs w:val="28"/>
        </w:rPr>
      </w:pPr>
    </w:p>
    <w:p>
      <w:pPr>
        <w:spacing w:line="560" w:lineRule="exact"/>
        <w:ind w:firstLine="7280" w:firstLineChars="2600"/>
        <w:rPr>
          <w:rFonts w:ascii="仿宋" w:hAnsi="仿宋" w:eastAsia="仿宋" w:cs="仿宋_GB2312"/>
          <w:sz w:val="28"/>
          <w:szCs w:val="28"/>
        </w:rPr>
      </w:pPr>
      <w:r>
        <w:rPr>
          <w:rFonts w:hint="eastAsia" w:ascii="仿宋" w:hAnsi="仿宋" w:eastAsia="仿宋" w:cs="仿宋_GB2312"/>
          <w:sz w:val="28"/>
          <w:szCs w:val="28"/>
        </w:rPr>
        <w:t>年  月  日</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r>
        <w:rPr>
          <w:rFonts w:hint="eastAsia" w:ascii="仿宋" w:hAnsi="仿宋" w:eastAsia="仿宋" w:cs="仿宋_GB2312"/>
          <w:b/>
          <w:sz w:val="36"/>
          <w:szCs w:val="36"/>
        </w:rPr>
        <w:t xml:space="preserve"> </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bCs/>
          <w:sz w:val="36"/>
          <w:szCs w:val="36"/>
        </w:rPr>
      </w:pPr>
      <w:r>
        <w:rPr>
          <w:rFonts w:hint="eastAsia" w:ascii="仿宋" w:hAnsi="仿宋" w:eastAsia="仿宋" w:cs="仿宋_GB2312"/>
          <w:b/>
          <w:sz w:val="36"/>
          <w:szCs w:val="36"/>
        </w:rPr>
        <w:t>十二、投标廉洁</w:t>
      </w:r>
      <w:r>
        <w:rPr>
          <w:rFonts w:hint="eastAsia" w:ascii="仿宋" w:hAnsi="仿宋" w:eastAsia="仿宋" w:cs="仿宋_GB2312"/>
          <w:b/>
          <w:bCs/>
          <w:sz w:val="36"/>
          <w:szCs w:val="36"/>
        </w:rPr>
        <w:t>承诺书</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b/>
          <w:bCs/>
          <w:sz w:val="36"/>
          <w:szCs w:val="36"/>
        </w:rPr>
      </w:pPr>
      <w:r>
        <w:rPr>
          <w:rFonts w:hint="eastAsia" w:ascii="仿宋" w:hAnsi="仿宋" w:eastAsia="仿宋" w:cs="仿宋_GB2312"/>
          <w:sz w:val="28"/>
          <w:szCs w:val="28"/>
        </w:rPr>
        <w:t>我单位于</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4"/>
        </w:numPr>
        <w:spacing w:line="560" w:lineRule="exact"/>
        <w:ind w:firstLine="560" w:firstLineChars="200"/>
        <w:jc w:val="left"/>
        <w:rPr>
          <w:rFonts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560" w:firstLineChars="200"/>
        <w:rPr>
          <w:rFonts w:ascii="仿宋" w:hAnsi="仿宋" w:eastAsia="仿宋" w:cs="仿宋_GB2312"/>
          <w:color w:val="000000"/>
          <w:sz w:val="28"/>
          <w:szCs w:val="28"/>
          <w:u w:val="single"/>
        </w:rPr>
      </w:pPr>
    </w:p>
    <w:p>
      <w:pPr>
        <w:spacing w:line="560" w:lineRule="exact"/>
        <w:ind w:firstLine="5320" w:firstLineChars="1900"/>
        <w:rPr>
          <w:rFonts w:ascii="仿宋" w:hAnsi="仿宋" w:eastAsia="仿宋" w:cs="仿宋_GB2312"/>
          <w:sz w:val="28"/>
          <w:szCs w:val="28"/>
        </w:rPr>
      </w:pPr>
    </w:p>
    <w:p>
      <w:pPr>
        <w:spacing w:line="560" w:lineRule="exact"/>
        <w:ind w:firstLine="5418" w:firstLineChars="2100"/>
        <w:rPr>
          <w:rFonts w:ascii="仿宋" w:hAnsi="仿宋" w:eastAsia="仿宋" w:cs="仿宋_GB2312"/>
          <w:sz w:val="28"/>
          <w:szCs w:val="28"/>
        </w:rPr>
      </w:pPr>
      <w:r>
        <w:rPr>
          <w:rFonts w:hint="eastAsia" w:ascii="仿宋" w:hAnsi="仿宋" w:eastAsia="仿宋" w:cs="仿宋_GB2312"/>
          <w:spacing w:val="-11"/>
          <w:sz w:val="28"/>
          <w:szCs w:val="28"/>
        </w:rPr>
        <w:t xml:space="preserve">承诺方签字 </w:t>
      </w:r>
      <w:r>
        <w:rPr>
          <w:rFonts w:hint="eastAsia" w:ascii="仿宋" w:hAnsi="仿宋" w:eastAsia="仿宋" w:cs="仿宋_GB2312"/>
          <w:b/>
          <w:bCs/>
          <w:sz w:val="28"/>
          <w:szCs w:val="28"/>
        </w:rPr>
        <w:t>:</w:t>
      </w:r>
    </w:p>
    <w:p>
      <w:pPr>
        <w:spacing w:line="560" w:lineRule="exact"/>
        <w:ind w:firstLine="5418" w:firstLineChars="2100"/>
        <w:rPr>
          <w:rFonts w:ascii="仿宋" w:hAnsi="仿宋" w:eastAsia="仿宋" w:cs="仿宋_GB2312"/>
          <w:sz w:val="28"/>
          <w:szCs w:val="28"/>
        </w:rPr>
      </w:pPr>
      <w:r>
        <w:rPr>
          <w:rFonts w:hint="eastAsia" w:ascii="仿宋" w:hAnsi="仿宋" w:eastAsia="仿宋" w:cs="仿宋_GB2312"/>
          <w:spacing w:val="-11"/>
          <w:sz w:val="28"/>
          <w:szCs w:val="28"/>
        </w:rPr>
        <w:t>单 位 盖 章</w:t>
      </w:r>
      <w:r>
        <w:rPr>
          <w:rFonts w:hint="eastAsia" w:ascii="仿宋" w:hAnsi="仿宋" w:eastAsia="仿宋" w:cs="仿宋_GB2312"/>
          <w:sz w:val="28"/>
          <w:szCs w:val="28"/>
        </w:rPr>
        <w:t xml:space="preserve">：                    </w:t>
      </w:r>
    </w:p>
    <w:p>
      <w:pPr>
        <w:spacing w:line="560" w:lineRule="exact"/>
        <w:ind w:firstLine="2240" w:firstLineChars="800"/>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pacing w:val="-11"/>
          <w:sz w:val="28"/>
          <w:szCs w:val="28"/>
        </w:rPr>
        <w:t>日       期：</w:t>
      </w:r>
    </w:p>
    <w:p>
      <w:pPr>
        <w:spacing w:line="560" w:lineRule="exact"/>
        <w:rPr>
          <w:rFonts w:ascii="仿宋" w:hAnsi="仿宋" w:eastAsia="仿宋" w:cs="仿宋_GB2312"/>
          <w:b/>
          <w:sz w:val="36"/>
          <w:szCs w:val="36"/>
        </w:rPr>
        <w:sectPr>
          <w:headerReference r:id="rId6" w:type="default"/>
          <w:footerReference r:id="rId7" w:type="default"/>
          <w:pgSz w:w="11906" w:h="16838"/>
          <w:pgMar w:top="312" w:right="1469" w:bottom="709" w:left="1338" w:header="851" w:footer="273" w:gutter="284"/>
          <w:cols w:space="720" w:num="1"/>
          <w:docGrid w:type="lines" w:linePitch="312" w:charSpace="0"/>
        </w:sectPr>
      </w:pPr>
    </w:p>
    <w:p>
      <w:pPr>
        <w:numPr>
          <w:ilvl w:val="0"/>
          <w:numId w:val="5"/>
        </w:numPr>
        <w:jc w:val="center"/>
        <w:rPr>
          <w:rFonts w:ascii="仿宋" w:hAnsi="仿宋" w:eastAsia="仿宋" w:cs="仿宋_GB2312"/>
          <w:b/>
          <w:sz w:val="36"/>
          <w:szCs w:val="36"/>
        </w:rPr>
      </w:pPr>
      <w:r>
        <w:rPr>
          <w:rFonts w:hint="eastAsia" w:ascii="仿宋" w:hAnsi="仿宋" w:eastAsia="仿宋" w:cs="仿宋_GB2312"/>
          <w:b/>
          <w:sz w:val="36"/>
          <w:szCs w:val="36"/>
        </w:rPr>
        <w:t>报价单</w:t>
      </w:r>
    </w:p>
    <w:p>
      <w:pPr>
        <w:spacing w:line="400" w:lineRule="exact"/>
        <w:rPr>
          <w:rFonts w:hint="eastAsia" w:ascii="仿宋" w:hAnsi="仿宋" w:eastAsia="仿宋"/>
          <w:b/>
          <w:sz w:val="28"/>
          <w:szCs w:val="28"/>
        </w:rPr>
      </w:pPr>
      <w:r>
        <w:rPr>
          <w:rFonts w:hint="eastAsia" w:ascii="仿宋" w:hAnsi="仿宋" w:eastAsia="仿宋"/>
          <w:b/>
          <w:sz w:val="28"/>
          <w:szCs w:val="28"/>
        </w:rPr>
        <w:t>报价单（TGJA-WZ-202</w:t>
      </w:r>
      <w:r>
        <w:rPr>
          <w:rFonts w:hint="eastAsia" w:ascii="仿宋" w:hAnsi="仿宋" w:eastAsia="仿宋"/>
          <w:b/>
          <w:sz w:val="28"/>
          <w:szCs w:val="28"/>
          <w:lang w:val="en-US" w:eastAsia="zh-CN"/>
        </w:rPr>
        <w:t>3138-2</w:t>
      </w:r>
      <w:r>
        <w:rPr>
          <w:rFonts w:hint="eastAsia" w:ascii="仿宋" w:hAnsi="仿宋" w:eastAsia="仿宋"/>
          <w:b/>
          <w:sz w:val="28"/>
          <w:szCs w:val="28"/>
        </w:rPr>
        <w:t>）</w:t>
      </w:r>
    </w:p>
    <w:tbl>
      <w:tblPr>
        <w:tblStyle w:val="54"/>
        <w:tblW w:w="155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450"/>
        <w:gridCol w:w="3083"/>
        <w:gridCol w:w="1125"/>
        <w:gridCol w:w="1725"/>
        <w:gridCol w:w="1462"/>
        <w:gridCol w:w="16"/>
        <w:gridCol w:w="1447"/>
        <w:gridCol w:w="1034"/>
        <w:gridCol w:w="1666"/>
        <w:gridCol w:w="1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530" w:type="dxa"/>
            <w:vAlign w:val="center"/>
          </w:tcPr>
          <w:p>
            <w:pPr>
              <w:spacing w:line="400" w:lineRule="exact"/>
              <w:jc w:val="center"/>
              <w:rPr>
                <w:rFonts w:hint="eastAsia" w:ascii="仿宋" w:hAnsi="仿宋" w:eastAsia="仿宋"/>
                <w:sz w:val="24"/>
                <w:szCs w:val="24"/>
              </w:rPr>
            </w:pPr>
            <w:r>
              <w:rPr>
                <w:rFonts w:hint="eastAsia" w:ascii="仿宋" w:hAnsi="仿宋" w:eastAsia="仿宋"/>
                <w:sz w:val="24"/>
                <w:szCs w:val="24"/>
              </w:rPr>
              <w:t>序号</w:t>
            </w:r>
          </w:p>
        </w:tc>
        <w:tc>
          <w:tcPr>
            <w:tcW w:w="1450" w:type="dxa"/>
            <w:vAlign w:val="center"/>
          </w:tcPr>
          <w:p>
            <w:pPr>
              <w:spacing w:line="400" w:lineRule="exact"/>
              <w:jc w:val="center"/>
              <w:rPr>
                <w:rFonts w:hint="eastAsia" w:ascii="仿宋" w:hAnsi="仿宋" w:eastAsia="仿宋"/>
                <w:sz w:val="24"/>
                <w:szCs w:val="24"/>
              </w:rPr>
            </w:pPr>
            <w:r>
              <w:rPr>
                <w:rFonts w:hint="eastAsia" w:ascii="仿宋" w:hAnsi="仿宋" w:eastAsia="仿宋"/>
                <w:sz w:val="24"/>
                <w:szCs w:val="24"/>
              </w:rPr>
              <w:t>物料名称</w:t>
            </w:r>
          </w:p>
        </w:tc>
        <w:tc>
          <w:tcPr>
            <w:tcW w:w="3083" w:type="dxa"/>
            <w:vAlign w:val="center"/>
          </w:tcPr>
          <w:p>
            <w:pPr>
              <w:spacing w:line="400" w:lineRule="exact"/>
              <w:jc w:val="center"/>
              <w:rPr>
                <w:rFonts w:hint="eastAsia" w:ascii="仿宋" w:hAnsi="仿宋" w:eastAsia="仿宋"/>
                <w:sz w:val="24"/>
                <w:szCs w:val="24"/>
              </w:rPr>
            </w:pPr>
            <w:r>
              <w:rPr>
                <w:rFonts w:hint="eastAsia" w:ascii="仿宋" w:hAnsi="仿宋" w:eastAsia="仿宋"/>
                <w:sz w:val="24"/>
                <w:szCs w:val="24"/>
              </w:rPr>
              <w:t>型号规格</w:t>
            </w:r>
          </w:p>
        </w:tc>
        <w:tc>
          <w:tcPr>
            <w:tcW w:w="1125" w:type="dxa"/>
            <w:vAlign w:val="center"/>
          </w:tcPr>
          <w:p>
            <w:pPr>
              <w:spacing w:line="400" w:lineRule="exact"/>
              <w:jc w:val="center"/>
              <w:rPr>
                <w:rFonts w:hint="eastAsia" w:ascii="仿宋" w:hAnsi="仿宋" w:eastAsia="仿宋"/>
                <w:sz w:val="24"/>
                <w:szCs w:val="24"/>
              </w:rPr>
            </w:pPr>
            <w:r>
              <w:rPr>
                <w:rFonts w:hint="eastAsia" w:ascii="仿宋" w:hAnsi="仿宋" w:eastAsia="仿宋"/>
                <w:sz w:val="24"/>
                <w:szCs w:val="24"/>
              </w:rPr>
              <w:t>单位</w:t>
            </w:r>
          </w:p>
        </w:tc>
        <w:tc>
          <w:tcPr>
            <w:tcW w:w="1725" w:type="dxa"/>
            <w:vAlign w:val="center"/>
          </w:tcPr>
          <w:p>
            <w:pPr>
              <w:spacing w:line="400" w:lineRule="exact"/>
              <w:jc w:val="center"/>
              <w:rPr>
                <w:rFonts w:hint="eastAsia" w:ascii="仿宋" w:hAnsi="仿宋" w:eastAsia="仿宋"/>
                <w:sz w:val="24"/>
                <w:szCs w:val="24"/>
              </w:rPr>
            </w:pPr>
            <w:r>
              <w:rPr>
                <w:rFonts w:hint="eastAsia" w:ascii="仿宋" w:hAnsi="仿宋" w:eastAsia="仿宋"/>
                <w:sz w:val="24"/>
                <w:szCs w:val="24"/>
              </w:rPr>
              <w:t>数量</w:t>
            </w:r>
          </w:p>
        </w:tc>
        <w:tc>
          <w:tcPr>
            <w:tcW w:w="1462" w:type="dxa"/>
            <w:vAlign w:val="center"/>
          </w:tcPr>
          <w:p>
            <w:pPr>
              <w:spacing w:line="400" w:lineRule="exact"/>
              <w:jc w:val="center"/>
              <w:rPr>
                <w:rFonts w:hint="default" w:ascii="仿宋" w:hAnsi="仿宋" w:eastAsia="仿宋"/>
                <w:sz w:val="24"/>
                <w:szCs w:val="24"/>
                <w:lang w:val="en-US" w:eastAsia="zh-CN"/>
              </w:rPr>
            </w:pPr>
            <w:r>
              <w:rPr>
                <w:rFonts w:hint="eastAsia" w:ascii="仿宋" w:hAnsi="仿宋" w:eastAsia="仿宋"/>
                <w:sz w:val="24"/>
                <w:szCs w:val="24"/>
              </w:rPr>
              <w:t>含税含运费单价</w:t>
            </w:r>
            <w:r>
              <w:rPr>
                <w:rFonts w:hint="eastAsia" w:ascii="仿宋" w:hAnsi="仿宋" w:eastAsia="仿宋"/>
                <w:color w:val="FF0000"/>
                <w:sz w:val="24"/>
                <w:szCs w:val="24"/>
              </w:rPr>
              <w:t>*</w:t>
            </w:r>
          </w:p>
        </w:tc>
        <w:tc>
          <w:tcPr>
            <w:tcW w:w="1463" w:type="dxa"/>
            <w:gridSpan w:val="2"/>
            <w:vAlign w:val="center"/>
          </w:tcPr>
          <w:p>
            <w:pPr>
              <w:spacing w:line="400" w:lineRule="exact"/>
              <w:jc w:val="center"/>
              <w:rPr>
                <w:rFonts w:hint="eastAsia" w:ascii="仿宋" w:hAnsi="仿宋" w:eastAsia="仿宋"/>
                <w:sz w:val="24"/>
                <w:szCs w:val="24"/>
              </w:rPr>
            </w:pPr>
            <w:r>
              <w:rPr>
                <w:rFonts w:hint="eastAsia" w:ascii="仿宋" w:hAnsi="仿宋" w:eastAsia="仿宋"/>
                <w:sz w:val="24"/>
                <w:szCs w:val="24"/>
              </w:rPr>
              <w:t>含税含运费</w:t>
            </w:r>
            <w:r>
              <w:rPr>
                <w:rFonts w:hint="eastAsia" w:ascii="仿宋" w:hAnsi="仿宋" w:eastAsia="仿宋"/>
                <w:sz w:val="24"/>
                <w:szCs w:val="24"/>
                <w:lang w:eastAsia="zh-CN"/>
              </w:rPr>
              <w:t>金额</w:t>
            </w:r>
            <w:r>
              <w:rPr>
                <w:rFonts w:hint="eastAsia" w:ascii="仿宋" w:hAnsi="仿宋" w:eastAsia="仿宋"/>
                <w:color w:val="FF0000"/>
                <w:sz w:val="24"/>
                <w:szCs w:val="24"/>
              </w:rPr>
              <w:t>*</w:t>
            </w:r>
          </w:p>
        </w:tc>
        <w:tc>
          <w:tcPr>
            <w:tcW w:w="1034" w:type="dxa"/>
            <w:vAlign w:val="center"/>
          </w:tcPr>
          <w:p>
            <w:pPr>
              <w:spacing w:line="400" w:lineRule="exact"/>
              <w:jc w:val="center"/>
              <w:rPr>
                <w:rFonts w:ascii="仿宋" w:hAnsi="仿宋" w:eastAsia="仿宋"/>
                <w:sz w:val="24"/>
                <w:szCs w:val="24"/>
              </w:rPr>
            </w:pPr>
            <w:r>
              <w:rPr>
                <w:rFonts w:hint="eastAsia" w:ascii="仿宋" w:hAnsi="仿宋" w:eastAsia="仿宋"/>
                <w:sz w:val="24"/>
                <w:szCs w:val="24"/>
              </w:rPr>
              <w:t>税率</w:t>
            </w:r>
            <w:r>
              <w:rPr>
                <w:rFonts w:hint="eastAsia" w:ascii="仿宋" w:hAnsi="仿宋" w:eastAsia="仿宋"/>
                <w:color w:val="FF0000"/>
                <w:sz w:val="24"/>
                <w:szCs w:val="24"/>
              </w:rPr>
              <w:t>*</w:t>
            </w:r>
          </w:p>
        </w:tc>
        <w:tc>
          <w:tcPr>
            <w:tcW w:w="1666" w:type="dxa"/>
            <w:vAlign w:val="center"/>
          </w:tcPr>
          <w:p>
            <w:pPr>
              <w:spacing w:line="400" w:lineRule="exact"/>
              <w:jc w:val="center"/>
              <w:rPr>
                <w:rFonts w:ascii="仿宋" w:hAnsi="仿宋" w:eastAsia="仿宋"/>
                <w:sz w:val="24"/>
                <w:szCs w:val="24"/>
              </w:rPr>
            </w:pPr>
            <w:r>
              <w:rPr>
                <w:rFonts w:hint="eastAsia" w:ascii="仿宋" w:hAnsi="仿宋" w:eastAsia="仿宋"/>
                <w:sz w:val="24"/>
                <w:szCs w:val="24"/>
              </w:rPr>
              <w:t>是否为增值税专用发票</w:t>
            </w:r>
            <w:r>
              <w:rPr>
                <w:rFonts w:hint="eastAsia" w:ascii="仿宋" w:hAnsi="仿宋" w:eastAsia="仿宋"/>
                <w:color w:val="FF0000"/>
                <w:sz w:val="24"/>
                <w:szCs w:val="24"/>
              </w:rPr>
              <w:t>*</w:t>
            </w:r>
          </w:p>
        </w:tc>
        <w:tc>
          <w:tcPr>
            <w:tcW w:w="1962" w:type="dxa"/>
            <w:vAlign w:val="center"/>
          </w:tcPr>
          <w:p>
            <w:pPr>
              <w:spacing w:line="400" w:lineRule="exact"/>
              <w:jc w:val="center"/>
              <w:rPr>
                <w:rFonts w:hint="eastAsia" w:ascii="仿宋" w:hAnsi="仿宋" w:eastAsia="仿宋"/>
                <w:sz w:val="24"/>
                <w:szCs w:val="24"/>
              </w:rPr>
            </w:pPr>
            <w:r>
              <w:rPr>
                <w:rFonts w:hint="eastAsia" w:ascii="仿宋" w:hAnsi="仿宋" w:eastAsia="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530" w:type="dxa"/>
            <w:vAlign w:val="center"/>
          </w:tcPr>
          <w:p>
            <w:pPr>
              <w:spacing w:line="400" w:lineRule="exact"/>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1</w:t>
            </w:r>
          </w:p>
        </w:tc>
        <w:tc>
          <w:tcPr>
            <w:tcW w:w="1450" w:type="dxa"/>
            <w:vAlign w:val="center"/>
          </w:tcPr>
          <w:p>
            <w:pPr>
              <w:spacing w:line="400" w:lineRule="exact"/>
              <w:jc w:val="center"/>
              <w:rPr>
                <w:rFonts w:hint="eastAsia" w:ascii="仿宋" w:hAnsi="仿宋" w:eastAsia="仿宋"/>
                <w:sz w:val="24"/>
                <w:szCs w:val="24"/>
                <w:lang w:eastAsia="zh-CN"/>
              </w:rPr>
            </w:pPr>
            <w:r>
              <w:rPr>
                <w:rFonts w:hint="eastAsia" w:ascii="仿宋" w:hAnsi="仿宋" w:eastAsia="仿宋"/>
                <w:sz w:val="24"/>
                <w:szCs w:val="24"/>
                <w:lang w:eastAsia="zh-CN"/>
              </w:rPr>
              <w:t>水泥</w:t>
            </w:r>
          </w:p>
        </w:tc>
        <w:tc>
          <w:tcPr>
            <w:tcW w:w="3083" w:type="dxa"/>
            <w:vAlign w:val="center"/>
          </w:tcPr>
          <w:p>
            <w:pPr>
              <w:spacing w:line="400" w:lineRule="exact"/>
              <w:jc w:val="center"/>
              <w:rPr>
                <w:rFonts w:hint="default" w:ascii="仿宋" w:hAnsi="仿宋" w:eastAsia="仿宋"/>
                <w:sz w:val="24"/>
                <w:szCs w:val="24"/>
                <w:lang w:val="en-US" w:eastAsia="zh-CN"/>
              </w:rPr>
            </w:pPr>
            <w:r>
              <w:rPr>
                <w:rFonts w:hint="eastAsia" w:ascii="仿宋" w:hAnsi="仿宋" w:eastAsia="仿宋"/>
                <w:sz w:val="24"/>
                <w:szCs w:val="24"/>
                <w:lang w:val="en-US" w:eastAsia="zh-CN"/>
              </w:rPr>
              <w:t>袋装PO42.5</w:t>
            </w:r>
          </w:p>
        </w:tc>
        <w:tc>
          <w:tcPr>
            <w:tcW w:w="1125" w:type="dxa"/>
            <w:vAlign w:val="center"/>
          </w:tcPr>
          <w:p>
            <w:pPr>
              <w:spacing w:line="400" w:lineRule="exact"/>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吨</w:t>
            </w:r>
          </w:p>
        </w:tc>
        <w:tc>
          <w:tcPr>
            <w:tcW w:w="1725" w:type="dxa"/>
            <w:vAlign w:val="center"/>
          </w:tcPr>
          <w:p>
            <w:pPr>
              <w:spacing w:line="400" w:lineRule="exact"/>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2000</w:t>
            </w:r>
          </w:p>
        </w:tc>
        <w:tc>
          <w:tcPr>
            <w:tcW w:w="1462" w:type="dxa"/>
            <w:vAlign w:val="center"/>
          </w:tcPr>
          <w:p>
            <w:pPr>
              <w:spacing w:line="400" w:lineRule="exact"/>
              <w:jc w:val="center"/>
              <w:rPr>
                <w:rFonts w:hint="eastAsia" w:ascii="仿宋" w:hAnsi="仿宋" w:eastAsia="仿宋"/>
                <w:sz w:val="24"/>
                <w:szCs w:val="24"/>
              </w:rPr>
            </w:pPr>
          </w:p>
        </w:tc>
        <w:tc>
          <w:tcPr>
            <w:tcW w:w="1463" w:type="dxa"/>
            <w:gridSpan w:val="2"/>
            <w:vAlign w:val="center"/>
          </w:tcPr>
          <w:p>
            <w:pPr>
              <w:spacing w:line="400" w:lineRule="exact"/>
              <w:jc w:val="center"/>
              <w:rPr>
                <w:rFonts w:hint="eastAsia" w:ascii="仿宋" w:hAnsi="仿宋" w:eastAsia="仿宋"/>
                <w:sz w:val="24"/>
                <w:szCs w:val="24"/>
              </w:rPr>
            </w:pPr>
          </w:p>
        </w:tc>
        <w:tc>
          <w:tcPr>
            <w:tcW w:w="1034" w:type="dxa"/>
            <w:vAlign w:val="center"/>
          </w:tcPr>
          <w:p>
            <w:pPr>
              <w:spacing w:line="400" w:lineRule="exact"/>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13%</w:t>
            </w:r>
          </w:p>
        </w:tc>
        <w:tc>
          <w:tcPr>
            <w:tcW w:w="1666" w:type="dxa"/>
            <w:vAlign w:val="center"/>
          </w:tcPr>
          <w:p>
            <w:pPr>
              <w:spacing w:line="400" w:lineRule="exact"/>
              <w:jc w:val="center"/>
              <w:rPr>
                <w:rFonts w:hint="eastAsia" w:ascii="仿宋" w:hAnsi="仿宋" w:eastAsia="仿宋"/>
                <w:sz w:val="24"/>
                <w:szCs w:val="24"/>
                <w:lang w:eastAsia="zh-CN"/>
              </w:rPr>
            </w:pPr>
            <w:r>
              <w:rPr>
                <w:rFonts w:hint="eastAsia" w:ascii="仿宋" w:hAnsi="仿宋" w:eastAsia="仿宋"/>
                <w:sz w:val="24"/>
                <w:szCs w:val="24"/>
                <w:lang w:eastAsia="zh-CN"/>
              </w:rPr>
              <w:t>是</w:t>
            </w:r>
          </w:p>
        </w:tc>
        <w:tc>
          <w:tcPr>
            <w:tcW w:w="1962" w:type="dxa"/>
            <w:vAlign w:val="center"/>
          </w:tcPr>
          <w:p>
            <w:pPr>
              <w:spacing w:line="400" w:lineRule="exact"/>
              <w:jc w:val="center"/>
              <w:rPr>
                <w:rFonts w:hint="eastAsia" w:ascii="仿宋" w:hAnsi="仿宋" w:eastAsia="仿宋"/>
                <w:sz w:val="24"/>
                <w:szCs w:val="24"/>
                <w:lang w:eastAsia="zh-CN"/>
              </w:rPr>
            </w:pPr>
            <w:r>
              <w:rPr>
                <w:rFonts w:hint="eastAsia" w:ascii="仿宋" w:hAnsi="仿宋" w:eastAsia="仿宋" w:cs="仿宋_GB2312"/>
                <w:color w:val="000000"/>
                <w:sz w:val="24"/>
                <w:szCs w:val="24"/>
                <w:highlight w:val="none"/>
                <w:u w:val="none"/>
                <w:lang w:val="en-US" w:eastAsia="zh-CN"/>
              </w:rPr>
              <w:t>符合GB175-2007标准要求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530" w:type="dxa"/>
            <w:vAlign w:val="center"/>
          </w:tcPr>
          <w:p>
            <w:pPr>
              <w:spacing w:line="400" w:lineRule="exact"/>
              <w:jc w:val="center"/>
              <w:rPr>
                <w:rFonts w:hint="eastAsia" w:ascii="仿宋" w:hAnsi="仿宋" w:eastAsia="仿宋"/>
                <w:sz w:val="24"/>
                <w:lang w:val="en-US" w:eastAsia="zh-CN"/>
              </w:rPr>
            </w:pPr>
          </w:p>
        </w:tc>
        <w:tc>
          <w:tcPr>
            <w:tcW w:w="1450"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合计：</w:t>
            </w:r>
          </w:p>
        </w:tc>
        <w:tc>
          <w:tcPr>
            <w:tcW w:w="3083" w:type="dxa"/>
            <w:vAlign w:val="center"/>
          </w:tcPr>
          <w:p>
            <w:pPr>
              <w:spacing w:line="400" w:lineRule="exact"/>
              <w:jc w:val="center"/>
              <w:rPr>
                <w:rFonts w:hint="eastAsia" w:ascii="仿宋" w:hAnsi="仿宋" w:eastAsia="仿宋"/>
                <w:sz w:val="24"/>
                <w:lang w:eastAsia="zh-CN"/>
              </w:rPr>
            </w:pPr>
          </w:p>
        </w:tc>
        <w:tc>
          <w:tcPr>
            <w:tcW w:w="1125" w:type="dxa"/>
            <w:vAlign w:val="center"/>
          </w:tcPr>
          <w:p>
            <w:pPr>
              <w:spacing w:line="400" w:lineRule="exact"/>
              <w:jc w:val="center"/>
              <w:rPr>
                <w:rFonts w:hint="eastAsia" w:ascii="仿宋" w:hAnsi="仿宋" w:eastAsia="仿宋"/>
                <w:sz w:val="24"/>
                <w:lang w:val="en-US" w:eastAsia="zh-CN"/>
              </w:rPr>
            </w:pPr>
          </w:p>
        </w:tc>
        <w:tc>
          <w:tcPr>
            <w:tcW w:w="1725" w:type="dxa"/>
            <w:vAlign w:val="center"/>
          </w:tcPr>
          <w:p>
            <w:pPr>
              <w:spacing w:line="400" w:lineRule="exact"/>
              <w:jc w:val="center"/>
              <w:rPr>
                <w:rFonts w:hint="eastAsia" w:ascii="仿宋" w:hAnsi="仿宋" w:eastAsia="仿宋"/>
                <w:sz w:val="24"/>
                <w:lang w:val="en-US" w:eastAsia="zh-CN"/>
              </w:rPr>
            </w:pPr>
          </w:p>
        </w:tc>
        <w:tc>
          <w:tcPr>
            <w:tcW w:w="1462" w:type="dxa"/>
            <w:vAlign w:val="center"/>
          </w:tcPr>
          <w:p>
            <w:pPr>
              <w:spacing w:line="400" w:lineRule="exact"/>
              <w:jc w:val="center"/>
              <w:rPr>
                <w:rFonts w:hint="eastAsia" w:ascii="仿宋" w:hAnsi="仿宋" w:eastAsia="仿宋"/>
                <w:sz w:val="24"/>
              </w:rPr>
            </w:pPr>
          </w:p>
        </w:tc>
        <w:tc>
          <w:tcPr>
            <w:tcW w:w="1463" w:type="dxa"/>
            <w:gridSpan w:val="2"/>
            <w:vAlign w:val="center"/>
          </w:tcPr>
          <w:p>
            <w:pPr>
              <w:spacing w:line="400" w:lineRule="exact"/>
              <w:jc w:val="center"/>
              <w:rPr>
                <w:rFonts w:hint="eastAsia" w:ascii="仿宋" w:hAnsi="仿宋" w:eastAsia="仿宋"/>
                <w:sz w:val="24"/>
              </w:rPr>
            </w:pPr>
          </w:p>
        </w:tc>
        <w:tc>
          <w:tcPr>
            <w:tcW w:w="1034" w:type="dxa"/>
            <w:vAlign w:val="center"/>
          </w:tcPr>
          <w:p>
            <w:pPr>
              <w:spacing w:line="400" w:lineRule="exact"/>
              <w:jc w:val="center"/>
              <w:rPr>
                <w:rFonts w:hint="default" w:ascii="仿宋" w:hAnsi="仿宋" w:eastAsia="仿宋"/>
                <w:sz w:val="24"/>
                <w:lang w:val="en-US" w:eastAsia="zh-CN"/>
              </w:rPr>
            </w:pPr>
          </w:p>
        </w:tc>
        <w:tc>
          <w:tcPr>
            <w:tcW w:w="1666" w:type="dxa"/>
            <w:vAlign w:val="center"/>
          </w:tcPr>
          <w:p>
            <w:pPr>
              <w:spacing w:line="400" w:lineRule="exact"/>
              <w:jc w:val="center"/>
              <w:rPr>
                <w:rFonts w:hint="eastAsia" w:ascii="仿宋" w:hAnsi="仿宋" w:eastAsia="仿宋"/>
                <w:sz w:val="24"/>
                <w:lang w:eastAsia="zh-CN"/>
              </w:rPr>
            </w:pPr>
          </w:p>
        </w:tc>
        <w:tc>
          <w:tcPr>
            <w:tcW w:w="1962" w:type="dxa"/>
            <w:vAlign w:val="center"/>
          </w:tcPr>
          <w:p>
            <w:pPr>
              <w:spacing w:line="40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8" w:hRule="atLeast"/>
        </w:trPr>
        <w:tc>
          <w:tcPr>
            <w:tcW w:w="15500" w:type="dxa"/>
            <w:gridSpan w:val="11"/>
            <w:vAlign w:val="center"/>
          </w:tcPr>
          <w:p>
            <w:pPr>
              <w:spacing w:line="400" w:lineRule="exact"/>
              <w:rPr>
                <w:rFonts w:hint="eastAsia" w:ascii="仿宋" w:hAnsi="仿宋" w:eastAsia="仿宋"/>
                <w:sz w:val="24"/>
              </w:rPr>
            </w:pPr>
            <w:r>
              <w:rPr>
                <w:rFonts w:hint="eastAsia" w:ascii="仿宋" w:hAnsi="仿宋" w:eastAsia="仿宋"/>
                <w:sz w:val="24"/>
              </w:rPr>
              <w:t xml:space="preserve">说明：1、此报价表中带 </w:t>
            </w:r>
            <w:r>
              <w:rPr>
                <w:rFonts w:hint="eastAsia" w:ascii="仿宋" w:hAnsi="仿宋" w:eastAsia="仿宋"/>
                <w:color w:val="FF0000"/>
                <w:sz w:val="24"/>
              </w:rPr>
              <w:t>＊</w:t>
            </w:r>
            <w:r>
              <w:rPr>
                <w:rFonts w:hint="eastAsia" w:ascii="仿宋" w:hAnsi="仿宋" w:eastAsia="仿宋"/>
                <w:sz w:val="24"/>
              </w:rPr>
              <w:t xml:space="preserve"> 号为必填项，投标人的所有报价文件均为加盖单位公章的打印件（签名部分除外）。</w:t>
            </w:r>
          </w:p>
          <w:p>
            <w:pPr>
              <w:spacing w:line="400" w:lineRule="exact"/>
              <w:ind w:firstLine="720" w:firstLineChars="300"/>
              <w:rPr>
                <w:rFonts w:ascii="仿宋" w:hAnsi="仿宋" w:eastAsia="仿宋"/>
                <w:sz w:val="24"/>
              </w:rPr>
            </w:pPr>
            <w:r>
              <w:rPr>
                <w:rFonts w:hint="eastAsia" w:ascii="仿宋" w:hAnsi="仿宋" w:eastAsia="仿宋"/>
                <w:sz w:val="24"/>
              </w:rPr>
              <w:t>2、本次招标的数量为预估量，最终结算数量以双方确认的实际供货数量为准。</w:t>
            </w:r>
          </w:p>
          <w:p>
            <w:pPr>
              <w:spacing w:line="400" w:lineRule="exact"/>
              <w:ind w:firstLine="720" w:firstLineChars="300"/>
              <w:rPr>
                <w:rFonts w:hint="eastAsia" w:ascii="仿宋" w:hAnsi="仿宋" w:eastAsia="仿宋"/>
                <w:sz w:val="24"/>
              </w:rPr>
            </w:pPr>
            <w:r>
              <w:rPr>
                <w:rFonts w:hint="eastAsia" w:ascii="仿宋" w:hAnsi="仿宋" w:eastAsia="仿宋"/>
                <w:sz w:val="24"/>
              </w:rPr>
              <w:t>3、每个包件单独密封投标。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7913" w:type="dxa"/>
            <w:gridSpan w:val="5"/>
            <w:vMerge w:val="restart"/>
            <w:vAlign w:val="center"/>
          </w:tcPr>
          <w:p>
            <w:pPr>
              <w:spacing w:line="400" w:lineRule="exact"/>
              <w:ind w:firstLine="240" w:firstLineChars="100"/>
              <w:rPr>
                <w:rFonts w:hint="eastAsia" w:ascii="仿宋" w:hAnsi="仿宋" w:eastAsia="仿宋"/>
                <w:sz w:val="24"/>
              </w:rPr>
            </w:pPr>
            <w:r>
              <w:rPr>
                <w:rFonts w:hint="eastAsia" w:ascii="仿宋" w:hAnsi="仿宋" w:eastAsia="仿宋"/>
                <w:sz w:val="24"/>
              </w:rPr>
              <w:t>投标单位（公章）</w:t>
            </w:r>
          </w:p>
        </w:tc>
        <w:tc>
          <w:tcPr>
            <w:tcW w:w="1478" w:type="dxa"/>
            <w:gridSpan w:val="2"/>
            <w:vAlign w:val="center"/>
          </w:tcPr>
          <w:p>
            <w:pPr>
              <w:spacing w:line="400" w:lineRule="exact"/>
              <w:rPr>
                <w:rFonts w:hint="eastAsia" w:ascii="仿宋" w:hAnsi="仿宋" w:eastAsia="仿宋"/>
                <w:sz w:val="24"/>
              </w:rPr>
            </w:pPr>
            <w:r>
              <w:rPr>
                <w:rFonts w:hint="eastAsia" w:ascii="仿宋" w:hAnsi="仿宋" w:eastAsia="仿宋"/>
                <w:sz w:val="24"/>
              </w:rPr>
              <w:t>法定代表人或授权委托人</w:t>
            </w:r>
          </w:p>
        </w:tc>
        <w:tc>
          <w:tcPr>
            <w:tcW w:w="6109" w:type="dxa"/>
            <w:gridSpan w:val="4"/>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7913" w:type="dxa"/>
            <w:gridSpan w:val="5"/>
            <w:vMerge w:val="continue"/>
            <w:vAlign w:val="center"/>
          </w:tcPr>
          <w:p>
            <w:pPr>
              <w:spacing w:line="400" w:lineRule="exact"/>
              <w:rPr>
                <w:rFonts w:hint="eastAsia" w:ascii="仿宋" w:hAnsi="仿宋" w:eastAsia="仿宋"/>
                <w:sz w:val="24"/>
              </w:rPr>
            </w:pPr>
          </w:p>
        </w:tc>
        <w:tc>
          <w:tcPr>
            <w:tcW w:w="1478" w:type="dxa"/>
            <w:gridSpan w:val="2"/>
            <w:vMerge w:val="restart"/>
            <w:vAlign w:val="center"/>
          </w:tcPr>
          <w:p>
            <w:pPr>
              <w:spacing w:line="400" w:lineRule="exact"/>
              <w:jc w:val="center"/>
              <w:rPr>
                <w:rFonts w:hint="eastAsia" w:ascii="仿宋" w:hAnsi="仿宋" w:eastAsia="仿宋"/>
                <w:sz w:val="24"/>
              </w:rPr>
            </w:pPr>
            <w:r>
              <w:rPr>
                <w:rFonts w:hint="eastAsia" w:ascii="仿宋" w:hAnsi="仿宋" w:eastAsia="仿宋"/>
                <w:sz w:val="24"/>
              </w:rPr>
              <w:t>联系方式</w:t>
            </w:r>
          </w:p>
        </w:tc>
        <w:tc>
          <w:tcPr>
            <w:tcW w:w="2481"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电话</w:t>
            </w:r>
          </w:p>
        </w:tc>
        <w:tc>
          <w:tcPr>
            <w:tcW w:w="3628" w:type="dxa"/>
            <w:gridSpan w:val="2"/>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7913" w:type="dxa"/>
            <w:gridSpan w:val="5"/>
            <w:vMerge w:val="continue"/>
            <w:vAlign w:val="center"/>
          </w:tcPr>
          <w:p>
            <w:pPr>
              <w:spacing w:line="400" w:lineRule="exact"/>
              <w:rPr>
                <w:rFonts w:hint="eastAsia" w:ascii="仿宋" w:hAnsi="仿宋" w:eastAsia="仿宋"/>
                <w:sz w:val="24"/>
              </w:rPr>
            </w:pPr>
          </w:p>
        </w:tc>
        <w:tc>
          <w:tcPr>
            <w:tcW w:w="1478" w:type="dxa"/>
            <w:gridSpan w:val="2"/>
            <w:vMerge w:val="continue"/>
            <w:vAlign w:val="center"/>
          </w:tcPr>
          <w:p>
            <w:pPr>
              <w:spacing w:line="400" w:lineRule="exact"/>
              <w:jc w:val="center"/>
              <w:rPr>
                <w:rFonts w:hint="eastAsia" w:ascii="仿宋" w:hAnsi="仿宋" w:eastAsia="仿宋"/>
                <w:sz w:val="24"/>
              </w:rPr>
            </w:pPr>
          </w:p>
        </w:tc>
        <w:tc>
          <w:tcPr>
            <w:tcW w:w="2481"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邮箱</w:t>
            </w:r>
          </w:p>
        </w:tc>
        <w:tc>
          <w:tcPr>
            <w:tcW w:w="3628" w:type="dxa"/>
            <w:gridSpan w:val="2"/>
            <w:vAlign w:val="center"/>
          </w:tcPr>
          <w:p>
            <w:pPr>
              <w:spacing w:line="400" w:lineRule="exact"/>
              <w:rPr>
                <w:rFonts w:hint="eastAsia" w:ascii="仿宋" w:hAnsi="仿宋" w:eastAsia="仿宋"/>
                <w:sz w:val="24"/>
              </w:rPr>
            </w:pPr>
          </w:p>
        </w:tc>
      </w:tr>
    </w:tbl>
    <w:p>
      <w:pPr>
        <w:spacing w:line="400" w:lineRule="exact"/>
        <w:rPr>
          <w:rFonts w:ascii="仿宋" w:hAnsi="仿宋" w:eastAsia="仿宋" w:cs="仿宋_GB2312"/>
          <w:sz w:val="28"/>
          <w:szCs w:val="28"/>
          <w:u w:val="singl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wps:txbx>
                    <wps:bodyPr wrap="none" lIns="0" tIns="0" rIns="0" bIns="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uj+IMa8BAABQ&#10;AwAADgAAAAAAAAABACAAAAAeAQAAZHJzL2Uyb0RvYy54bWxQSwUGAAAAAAYABgBZAQAAPwUAA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114300" distR="114300">
          <wp:extent cx="227965" cy="204470"/>
          <wp:effectExtent l="0" t="0" r="635" b="508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u w:val="single"/>
      </w:rPr>
    </w:pPr>
    <w:r>
      <w:rPr>
        <w:u w:val="single"/>
      </w:rPr>
      <w:drawing>
        <wp:inline distT="0" distB="0" distL="114300" distR="114300">
          <wp:extent cx="227965" cy="204470"/>
          <wp:effectExtent l="0" t="0" r="635" b="5080"/>
          <wp:docPr id="4" name="图片 6"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7F0BCA3"/>
    <w:multiLevelType w:val="singleLevel"/>
    <w:tmpl w:val="07F0BCA3"/>
    <w:lvl w:ilvl="0" w:tentative="0">
      <w:start w:val="13"/>
      <w:numFmt w:val="chineseCounting"/>
      <w:suff w:val="nothing"/>
      <w:lvlText w:val="%1、"/>
      <w:lvlJc w:val="left"/>
      <w:rPr>
        <w:rFonts w:hint="eastAsia"/>
      </w:rPr>
    </w:lvl>
  </w:abstractNum>
  <w:abstractNum w:abstractNumId="2">
    <w:nsid w:val="2BEA27D7"/>
    <w:multiLevelType w:val="singleLevel"/>
    <w:tmpl w:val="2BEA27D7"/>
    <w:lvl w:ilvl="0" w:tentative="0">
      <w:start w:val="6"/>
      <w:numFmt w:val="decimal"/>
      <w:suff w:val="nothing"/>
      <w:lvlText w:val="%1、"/>
      <w:lvlJc w:val="left"/>
    </w:lvl>
  </w:abstractNum>
  <w:abstractNum w:abstractNumId="3">
    <w:nsid w:val="438B66A3"/>
    <w:multiLevelType w:val="multilevel"/>
    <w:tmpl w:val="438B66A3"/>
    <w:lvl w:ilvl="0" w:tentative="0">
      <w:start w:val="1"/>
      <w:numFmt w:val="decimal"/>
      <w:pStyle w:val="73"/>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8B11F41"/>
    <w:multiLevelType w:val="singleLevel"/>
    <w:tmpl w:val="48B11F41"/>
    <w:lvl w:ilvl="0" w:tentative="0">
      <w:start w:val="2"/>
      <w:numFmt w:val="decimal"/>
      <w:suff w:val="nothing"/>
      <w:lvlText w:val="（%1）"/>
      <w:lvlJc w:val="left"/>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2YzY5NGZjYmIzMGI4ZWRkNDg3YTliZjgyMjI2MDA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47F6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263"/>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429B"/>
    <w:rsid w:val="00325519"/>
    <w:rsid w:val="00327907"/>
    <w:rsid w:val="00327B53"/>
    <w:rsid w:val="003313BB"/>
    <w:rsid w:val="00331EE6"/>
    <w:rsid w:val="003333B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85DB9"/>
    <w:rsid w:val="00491CBD"/>
    <w:rsid w:val="00495557"/>
    <w:rsid w:val="00495D9D"/>
    <w:rsid w:val="004A03DB"/>
    <w:rsid w:val="004A1DBE"/>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05A48"/>
    <w:rsid w:val="00610614"/>
    <w:rsid w:val="00610B4F"/>
    <w:rsid w:val="00612D05"/>
    <w:rsid w:val="00622BEF"/>
    <w:rsid w:val="0062384B"/>
    <w:rsid w:val="006250DB"/>
    <w:rsid w:val="00626D52"/>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1A4F"/>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5FE9"/>
    <w:rsid w:val="008B6737"/>
    <w:rsid w:val="008B71FA"/>
    <w:rsid w:val="008C0D9E"/>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3FD4"/>
    <w:rsid w:val="00CD49A5"/>
    <w:rsid w:val="00CD5CE9"/>
    <w:rsid w:val="00CD6404"/>
    <w:rsid w:val="00CE2B12"/>
    <w:rsid w:val="00CF29B0"/>
    <w:rsid w:val="00CF465B"/>
    <w:rsid w:val="00CF4F2F"/>
    <w:rsid w:val="00CF5AD5"/>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270C2"/>
    <w:rsid w:val="00E303CE"/>
    <w:rsid w:val="00E304A0"/>
    <w:rsid w:val="00E30808"/>
    <w:rsid w:val="00E30ECB"/>
    <w:rsid w:val="00E32AA6"/>
    <w:rsid w:val="00E33260"/>
    <w:rsid w:val="00E33C1C"/>
    <w:rsid w:val="00E35A54"/>
    <w:rsid w:val="00E35B9B"/>
    <w:rsid w:val="00E35DC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003"/>
    <w:rsid w:val="00ED0B50"/>
    <w:rsid w:val="00ED190E"/>
    <w:rsid w:val="00ED3CEA"/>
    <w:rsid w:val="00ED70A3"/>
    <w:rsid w:val="00EE161D"/>
    <w:rsid w:val="00EE3272"/>
    <w:rsid w:val="00EE342E"/>
    <w:rsid w:val="00EE37BF"/>
    <w:rsid w:val="00EE66C2"/>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E6BFB"/>
    <w:rsid w:val="00FF0F9F"/>
    <w:rsid w:val="00FF2D39"/>
    <w:rsid w:val="00FF359F"/>
    <w:rsid w:val="00FF3D2C"/>
    <w:rsid w:val="00FF3D6C"/>
    <w:rsid w:val="00FF5128"/>
    <w:rsid w:val="00FF5C25"/>
    <w:rsid w:val="00FF6186"/>
    <w:rsid w:val="01A2719B"/>
    <w:rsid w:val="01AA7D05"/>
    <w:rsid w:val="01AF2C21"/>
    <w:rsid w:val="03012A46"/>
    <w:rsid w:val="035F6345"/>
    <w:rsid w:val="036C34DA"/>
    <w:rsid w:val="03D355F0"/>
    <w:rsid w:val="05011011"/>
    <w:rsid w:val="053E62C7"/>
    <w:rsid w:val="05BF33B5"/>
    <w:rsid w:val="061F198A"/>
    <w:rsid w:val="076B4827"/>
    <w:rsid w:val="08157878"/>
    <w:rsid w:val="08FD0B6A"/>
    <w:rsid w:val="095B20FD"/>
    <w:rsid w:val="09F87FE5"/>
    <w:rsid w:val="0A9820E2"/>
    <w:rsid w:val="0B2B537E"/>
    <w:rsid w:val="0B6F7650"/>
    <w:rsid w:val="0B872600"/>
    <w:rsid w:val="0C396DB9"/>
    <w:rsid w:val="0C6241B2"/>
    <w:rsid w:val="0CA911C7"/>
    <w:rsid w:val="0D2B4E23"/>
    <w:rsid w:val="0DF20448"/>
    <w:rsid w:val="0DF67C05"/>
    <w:rsid w:val="0E2061B7"/>
    <w:rsid w:val="0E876D2F"/>
    <w:rsid w:val="0EC82FD7"/>
    <w:rsid w:val="0F3A3B23"/>
    <w:rsid w:val="0FB34554"/>
    <w:rsid w:val="10181623"/>
    <w:rsid w:val="107E735A"/>
    <w:rsid w:val="11566F0B"/>
    <w:rsid w:val="12A820AD"/>
    <w:rsid w:val="13D939D3"/>
    <w:rsid w:val="15737884"/>
    <w:rsid w:val="17D86D23"/>
    <w:rsid w:val="17F4775E"/>
    <w:rsid w:val="18AF15FD"/>
    <w:rsid w:val="19E61B84"/>
    <w:rsid w:val="19E94006"/>
    <w:rsid w:val="1BBF797C"/>
    <w:rsid w:val="1CCF3519"/>
    <w:rsid w:val="1DE26149"/>
    <w:rsid w:val="1DEE2CCA"/>
    <w:rsid w:val="1EB92EF2"/>
    <w:rsid w:val="1EF13F03"/>
    <w:rsid w:val="2037683E"/>
    <w:rsid w:val="20637B7A"/>
    <w:rsid w:val="21A61884"/>
    <w:rsid w:val="221D09FC"/>
    <w:rsid w:val="22F91AE6"/>
    <w:rsid w:val="23F51167"/>
    <w:rsid w:val="24366026"/>
    <w:rsid w:val="24453334"/>
    <w:rsid w:val="25590EC9"/>
    <w:rsid w:val="257F4BF0"/>
    <w:rsid w:val="25A13254"/>
    <w:rsid w:val="2601699D"/>
    <w:rsid w:val="262F357C"/>
    <w:rsid w:val="26A26CEB"/>
    <w:rsid w:val="27235E7D"/>
    <w:rsid w:val="276F4E38"/>
    <w:rsid w:val="2834446C"/>
    <w:rsid w:val="28C827CF"/>
    <w:rsid w:val="299D4A4C"/>
    <w:rsid w:val="2A1902C2"/>
    <w:rsid w:val="2AC06589"/>
    <w:rsid w:val="2C6224E4"/>
    <w:rsid w:val="2C995D0F"/>
    <w:rsid w:val="2D3E7816"/>
    <w:rsid w:val="2F3E6548"/>
    <w:rsid w:val="2FF670DA"/>
    <w:rsid w:val="30D974B7"/>
    <w:rsid w:val="31E01407"/>
    <w:rsid w:val="325A25E2"/>
    <w:rsid w:val="325F16D7"/>
    <w:rsid w:val="333663C1"/>
    <w:rsid w:val="34375693"/>
    <w:rsid w:val="345F01FB"/>
    <w:rsid w:val="346848DB"/>
    <w:rsid w:val="351E319F"/>
    <w:rsid w:val="354F3A99"/>
    <w:rsid w:val="357B16F3"/>
    <w:rsid w:val="36050FAB"/>
    <w:rsid w:val="364A4B51"/>
    <w:rsid w:val="367176A6"/>
    <w:rsid w:val="36A24328"/>
    <w:rsid w:val="36DC6FE4"/>
    <w:rsid w:val="385E4AD7"/>
    <w:rsid w:val="3A3173ED"/>
    <w:rsid w:val="3B076549"/>
    <w:rsid w:val="3B82173E"/>
    <w:rsid w:val="3C5B75D3"/>
    <w:rsid w:val="3C7823C8"/>
    <w:rsid w:val="3CA42746"/>
    <w:rsid w:val="3DCC4487"/>
    <w:rsid w:val="3E474521"/>
    <w:rsid w:val="3FF77603"/>
    <w:rsid w:val="40C41D88"/>
    <w:rsid w:val="413C763F"/>
    <w:rsid w:val="41B46B47"/>
    <w:rsid w:val="41DA5117"/>
    <w:rsid w:val="424B79E0"/>
    <w:rsid w:val="42FA2D1F"/>
    <w:rsid w:val="434963F7"/>
    <w:rsid w:val="436B2C00"/>
    <w:rsid w:val="439F612A"/>
    <w:rsid w:val="441344E9"/>
    <w:rsid w:val="44842956"/>
    <w:rsid w:val="44B922E9"/>
    <w:rsid w:val="45086E27"/>
    <w:rsid w:val="465E02D2"/>
    <w:rsid w:val="48D5197E"/>
    <w:rsid w:val="499D4ACB"/>
    <w:rsid w:val="4BC1413C"/>
    <w:rsid w:val="4C656785"/>
    <w:rsid w:val="4DFD24AF"/>
    <w:rsid w:val="4E822997"/>
    <w:rsid w:val="4ED20DFA"/>
    <w:rsid w:val="4F0F5DA2"/>
    <w:rsid w:val="4F397E6D"/>
    <w:rsid w:val="4FFE0E94"/>
    <w:rsid w:val="504C2BE7"/>
    <w:rsid w:val="51174B5C"/>
    <w:rsid w:val="51B50E5A"/>
    <w:rsid w:val="54285E4C"/>
    <w:rsid w:val="55306CD3"/>
    <w:rsid w:val="554830C1"/>
    <w:rsid w:val="56300F3A"/>
    <w:rsid w:val="56393E37"/>
    <w:rsid w:val="56B4262E"/>
    <w:rsid w:val="56F55D35"/>
    <w:rsid w:val="57C94BFF"/>
    <w:rsid w:val="5807041D"/>
    <w:rsid w:val="583F79D3"/>
    <w:rsid w:val="58691989"/>
    <w:rsid w:val="58F960F8"/>
    <w:rsid w:val="59264D13"/>
    <w:rsid w:val="5A0F23DC"/>
    <w:rsid w:val="5A736D55"/>
    <w:rsid w:val="5B573321"/>
    <w:rsid w:val="5BDF26D2"/>
    <w:rsid w:val="5C1E1084"/>
    <w:rsid w:val="5DBB7EFB"/>
    <w:rsid w:val="5E142834"/>
    <w:rsid w:val="5EE27322"/>
    <w:rsid w:val="60F035C2"/>
    <w:rsid w:val="61963037"/>
    <w:rsid w:val="633441F6"/>
    <w:rsid w:val="6352429E"/>
    <w:rsid w:val="63E45615"/>
    <w:rsid w:val="645A1DAF"/>
    <w:rsid w:val="64940258"/>
    <w:rsid w:val="64940A1E"/>
    <w:rsid w:val="64D11C05"/>
    <w:rsid w:val="67E52247"/>
    <w:rsid w:val="69021DF3"/>
    <w:rsid w:val="69AD4D95"/>
    <w:rsid w:val="6A1720C7"/>
    <w:rsid w:val="6A315ABB"/>
    <w:rsid w:val="6A87598F"/>
    <w:rsid w:val="6D260F88"/>
    <w:rsid w:val="6E1970B9"/>
    <w:rsid w:val="6EF47E9C"/>
    <w:rsid w:val="6F763902"/>
    <w:rsid w:val="6FE30FB3"/>
    <w:rsid w:val="702E7CDB"/>
    <w:rsid w:val="703849D5"/>
    <w:rsid w:val="711712EF"/>
    <w:rsid w:val="7121156E"/>
    <w:rsid w:val="7180640A"/>
    <w:rsid w:val="71B46553"/>
    <w:rsid w:val="71F35AC2"/>
    <w:rsid w:val="72B81640"/>
    <w:rsid w:val="72DA2E30"/>
    <w:rsid w:val="74B57A97"/>
    <w:rsid w:val="7574564B"/>
    <w:rsid w:val="75902151"/>
    <w:rsid w:val="7754112B"/>
    <w:rsid w:val="77B14F43"/>
    <w:rsid w:val="792A1CCE"/>
    <w:rsid w:val="793439F5"/>
    <w:rsid w:val="796E3D99"/>
    <w:rsid w:val="7B8D7C88"/>
    <w:rsid w:val="7C252C88"/>
    <w:rsid w:val="7C764322"/>
    <w:rsid w:val="7DCA16A4"/>
    <w:rsid w:val="7E6D0CC7"/>
    <w:rsid w:val="7E863C64"/>
    <w:rsid w:val="7EEF7FE1"/>
    <w:rsid w:val="7F671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6"/>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146"/>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12"/>
    <w:qFormat/>
    <w:uiPriority w:val="0"/>
    <w:pPr>
      <w:keepNext/>
      <w:keepLines/>
      <w:spacing w:before="260" w:after="260" w:line="415" w:lineRule="auto"/>
      <w:outlineLvl w:val="2"/>
    </w:pPr>
    <w:rPr>
      <w:b/>
      <w:bCs/>
      <w:sz w:val="32"/>
      <w:szCs w:val="32"/>
    </w:rPr>
  </w:style>
  <w:style w:type="paragraph" w:styleId="5">
    <w:name w:val="heading 4"/>
    <w:basedOn w:val="1"/>
    <w:next w:val="1"/>
    <w:link w:val="120"/>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140"/>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1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141"/>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131"/>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49"/>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36"/>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50"/>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14"/>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32"/>
    <w:qFormat/>
    <w:uiPriority w:val="0"/>
    <w:pPr>
      <w:spacing w:after="120"/>
    </w:pPr>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spacing w:after="120"/>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4"/>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16"/>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spacing w:before="120" w:after="120"/>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42"/>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spacing w:after="120"/>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6">
    <w:name w:val="标题5"/>
    <w:basedOn w:val="4"/>
    <w:link w:val="109"/>
    <w:qFormat/>
    <w:uiPriority w:val="0"/>
    <w:pPr>
      <w:spacing w:line="413" w:lineRule="auto"/>
    </w:pPr>
    <w:rPr>
      <w:rFonts w:ascii="Arial" w:hAnsi="Arial"/>
      <w:kern w:val="0"/>
      <w:sz w:val="24"/>
    </w:rPr>
  </w:style>
  <w:style w:type="paragraph" w:customStyle="1" w:styleId="57">
    <w:name w:val="Char4"/>
    <w:basedOn w:val="1"/>
    <w:qFormat/>
    <w:uiPriority w:val="0"/>
    <w:pPr>
      <w:spacing w:line="360" w:lineRule="auto"/>
      <w:ind w:firstLine="200" w:firstLineChars="200"/>
    </w:pPr>
    <w:rPr>
      <w:rFonts w:ascii="Arial" w:hAnsi="Arial" w:cs="Arial"/>
      <w:sz w:val="24"/>
    </w:rPr>
  </w:style>
  <w:style w:type="paragraph" w:customStyle="1" w:styleId="58">
    <w:name w:val="彩色网格 - 强调文字颜色 11"/>
    <w:basedOn w:val="1"/>
    <w:next w:val="1"/>
    <w:link w:val="111"/>
    <w:qFormat/>
    <w:uiPriority w:val="0"/>
    <w:rPr>
      <w:i/>
      <w:iCs/>
      <w:color w:val="000000"/>
      <w:szCs w:val="22"/>
    </w:rPr>
  </w:style>
  <w:style w:type="paragraph" w:customStyle="1" w:styleId="5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60">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61">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62">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63">
    <w:name w:val="默认段落字体 Para Char Char Char Char"/>
    <w:basedOn w:val="1"/>
    <w:qFormat/>
    <w:uiPriority w:val="0"/>
  </w:style>
  <w:style w:type="paragraph" w:customStyle="1" w:styleId="64">
    <w:name w:val="目录标题"/>
    <w:basedOn w:val="2"/>
    <w:next w:val="1"/>
    <w:qFormat/>
    <w:uiPriority w:val="0"/>
    <w:pPr>
      <w:outlineLvl w:val="9"/>
    </w:pPr>
    <w:rPr>
      <w:rFonts w:ascii="Calibri" w:hAnsi="Calibri"/>
    </w:rPr>
  </w:style>
  <w:style w:type="paragraph" w:customStyle="1" w:styleId="6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66">
    <w:name w:val="样式3"/>
    <w:basedOn w:val="4"/>
    <w:qFormat/>
    <w:uiPriority w:val="0"/>
    <w:rPr>
      <w:rFonts w:eastAsia="Arial"/>
    </w:rPr>
  </w:style>
  <w:style w:type="paragraph" w:customStyle="1" w:styleId="67">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68">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69">
    <w:name w:val="XW正文"/>
    <w:basedOn w:val="21"/>
    <w:qFormat/>
    <w:uiPriority w:val="0"/>
    <w:pPr>
      <w:adjustRightInd w:val="0"/>
      <w:spacing w:after="0" w:line="300" w:lineRule="auto"/>
      <w:ind w:left="0" w:leftChars="0" w:firstLine="454"/>
      <w:textAlignment w:val="baseline"/>
    </w:pPr>
    <w:rPr>
      <w:szCs w:val="20"/>
    </w:rPr>
  </w:style>
  <w:style w:type="paragraph" w:customStyle="1" w:styleId="70">
    <w:name w:val="表头"/>
    <w:basedOn w:val="1"/>
    <w:qFormat/>
    <w:uiPriority w:val="0"/>
    <w:pPr>
      <w:snapToGrid w:val="0"/>
      <w:spacing w:line="300" w:lineRule="auto"/>
      <w:ind w:right="420"/>
    </w:pPr>
    <w:rPr>
      <w:rFonts w:ascii="仿宋_GB2312"/>
      <w:kern w:val="0"/>
      <w:szCs w:val="21"/>
    </w:rPr>
  </w:style>
  <w:style w:type="paragraph" w:customStyle="1" w:styleId="71">
    <w:name w:val="1"/>
    <w:basedOn w:val="1"/>
    <w:next w:val="1"/>
    <w:qFormat/>
    <w:uiPriority w:val="0"/>
  </w:style>
  <w:style w:type="paragraph" w:customStyle="1" w:styleId="7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3">
    <w:name w:val="XW编号正文"/>
    <w:basedOn w:val="69"/>
    <w:qFormat/>
    <w:uiPriority w:val="0"/>
    <w:pPr>
      <w:numPr>
        <w:ilvl w:val="0"/>
        <w:numId w:val="1"/>
      </w:numPr>
      <w:tabs>
        <w:tab w:val="left" w:pos="1035"/>
        <w:tab w:val="left" w:pos="1134"/>
      </w:tabs>
      <w:ind w:left="1035" w:hanging="720"/>
      <w:jc w:val="left"/>
    </w:pPr>
  </w:style>
  <w:style w:type="paragraph" w:customStyle="1" w:styleId="74">
    <w:name w:val="Char"/>
    <w:basedOn w:val="1"/>
    <w:qFormat/>
    <w:uiPriority w:val="0"/>
    <w:pPr>
      <w:tabs>
        <w:tab w:val="left" w:pos="360"/>
      </w:tabs>
    </w:pPr>
    <w:rPr>
      <w:sz w:val="24"/>
    </w:rPr>
  </w:style>
  <w:style w:type="paragraph" w:customStyle="1" w:styleId="75">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76">
    <w:name w:val="菲页(卷)"/>
    <w:basedOn w:val="2"/>
    <w:next w:val="77"/>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77">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78">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0">
    <w:name w:val="A1"/>
    <w:basedOn w:val="26"/>
    <w:qFormat/>
    <w:uiPriority w:val="0"/>
    <w:pPr>
      <w:spacing w:line="300" w:lineRule="auto"/>
      <w:jc w:val="center"/>
    </w:pPr>
    <w:rPr>
      <w:rFonts w:ascii="黑体" w:eastAsia="黑体"/>
      <w:sz w:val="52"/>
      <w:szCs w:val="21"/>
    </w:rPr>
  </w:style>
  <w:style w:type="paragraph" w:customStyle="1" w:styleId="81">
    <w:name w:val="目录"/>
    <w:basedOn w:val="1"/>
    <w:qFormat/>
    <w:uiPriority w:val="0"/>
    <w:pPr>
      <w:widowControl/>
      <w:jc w:val="center"/>
    </w:pPr>
    <w:rPr>
      <w:rFonts w:hint="eastAsia" w:ascii="宋体"/>
      <w:b/>
      <w:kern w:val="0"/>
      <w:sz w:val="36"/>
      <w:szCs w:val="20"/>
    </w:rPr>
  </w:style>
  <w:style w:type="paragraph" w:customStyle="1" w:styleId="8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83">
    <w:name w:val="p0"/>
    <w:basedOn w:val="1"/>
    <w:qFormat/>
    <w:uiPriority w:val="0"/>
    <w:pPr>
      <w:widowControl/>
    </w:pPr>
    <w:rPr>
      <w:kern w:val="0"/>
      <w:szCs w:val="21"/>
    </w:rPr>
  </w:style>
  <w:style w:type="paragraph" w:customStyle="1" w:styleId="84">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85">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6">
    <w:name w:val="A2"/>
    <w:basedOn w:val="26"/>
    <w:qFormat/>
    <w:uiPriority w:val="0"/>
    <w:pPr>
      <w:spacing w:line="300" w:lineRule="auto"/>
      <w:jc w:val="left"/>
    </w:pPr>
    <w:rPr>
      <w:rFonts w:ascii="黑体" w:eastAsia="黑体"/>
      <w:szCs w:val="21"/>
    </w:rPr>
  </w:style>
  <w:style w:type="paragraph" w:customStyle="1" w:styleId="87">
    <w:name w:val="表格文字"/>
    <w:basedOn w:val="1"/>
    <w:qFormat/>
    <w:uiPriority w:val="0"/>
    <w:pPr>
      <w:adjustRightInd w:val="0"/>
      <w:spacing w:line="420" w:lineRule="atLeast"/>
      <w:jc w:val="left"/>
      <w:textAlignment w:val="baseline"/>
    </w:pPr>
    <w:rPr>
      <w:kern w:val="0"/>
      <w:szCs w:val="20"/>
    </w:rPr>
  </w:style>
  <w:style w:type="paragraph" w:customStyle="1" w:styleId="8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89">
    <w:name w:val="彩色列表 - 强调文字颜色 11"/>
    <w:basedOn w:val="1"/>
    <w:qFormat/>
    <w:uiPriority w:val="0"/>
    <w:pPr>
      <w:ind w:firstLine="420" w:firstLineChars="200"/>
    </w:pPr>
    <w:rPr>
      <w:rFonts w:ascii="Calibri" w:hAnsi="Calibri"/>
      <w:szCs w:val="22"/>
    </w:rPr>
  </w:style>
  <w:style w:type="paragraph" w:customStyle="1" w:styleId="90">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91">
    <w:name w:val="A3"/>
    <w:basedOn w:val="80"/>
    <w:qFormat/>
    <w:uiPriority w:val="0"/>
    <w:rPr>
      <w:sz w:val="21"/>
    </w:rPr>
  </w:style>
  <w:style w:type="paragraph" w:customStyle="1" w:styleId="92">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3">
    <w:name w:val="Char Char Char Char Char"/>
    <w:basedOn w:val="1"/>
    <w:qFormat/>
    <w:uiPriority w:val="0"/>
    <w:pPr>
      <w:tabs>
        <w:tab w:val="left" w:pos="1360"/>
      </w:tabs>
      <w:ind w:left="1360" w:hanging="720"/>
    </w:pPr>
    <w:rPr>
      <w:szCs w:val="20"/>
    </w:rPr>
  </w:style>
  <w:style w:type="paragraph" w:customStyle="1" w:styleId="94">
    <w:name w:val="表格"/>
    <w:basedOn w:val="1"/>
    <w:qFormat/>
    <w:uiPriority w:val="0"/>
    <w:pPr>
      <w:jc w:val="center"/>
      <w:textAlignment w:val="center"/>
    </w:pPr>
    <w:rPr>
      <w:rFonts w:ascii="华文细黑" w:hAnsi="华文细黑"/>
      <w:kern w:val="0"/>
      <w:szCs w:val="20"/>
    </w:rPr>
  </w:style>
  <w:style w:type="paragraph" w:customStyle="1" w:styleId="95">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6">
    <w:name w:val="样式1"/>
    <w:basedOn w:val="4"/>
    <w:qFormat/>
    <w:uiPriority w:val="0"/>
    <w:rPr>
      <w:rFonts w:eastAsia="Arial"/>
    </w:rPr>
  </w:style>
  <w:style w:type="paragraph" w:customStyle="1" w:styleId="9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98">
    <w:name w:val="样式2"/>
    <w:basedOn w:val="4"/>
    <w:qFormat/>
    <w:uiPriority w:val="0"/>
  </w:style>
  <w:style w:type="paragraph" w:customStyle="1" w:styleId="99">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标题4"/>
    <w:basedOn w:val="3"/>
    <w:next w:val="23"/>
    <w:link w:val="107"/>
    <w:qFormat/>
    <w:uiPriority w:val="0"/>
    <w:pPr>
      <w:spacing w:line="413" w:lineRule="auto"/>
    </w:pPr>
    <w:rPr>
      <w:rFonts w:eastAsia="宋体"/>
      <w:kern w:val="0"/>
      <w:sz w:val="24"/>
    </w:rPr>
  </w:style>
  <w:style w:type="paragraph" w:customStyle="1" w:styleId="102">
    <w:name w:val="浅色底纹 - 强调文字颜色 21"/>
    <w:basedOn w:val="1"/>
    <w:next w:val="1"/>
    <w:link w:val="147"/>
    <w:qFormat/>
    <w:uiPriority w:val="0"/>
    <w:pPr>
      <w:pBdr>
        <w:bottom w:val="single" w:color="4F81BD" w:sz="4" w:space="4"/>
      </w:pBdr>
      <w:spacing w:before="200" w:after="280"/>
      <w:ind w:left="936" w:right="936"/>
    </w:pPr>
    <w:rPr>
      <w:b/>
      <w:bCs/>
      <w:i/>
      <w:iCs/>
      <w:color w:val="4F81BD"/>
      <w:szCs w:val="22"/>
    </w:rPr>
  </w:style>
  <w:style w:type="paragraph" w:customStyle="1" w:styleId="103">
    <w:name w:val="Char1"/>
    <w:basedOn w:val="1"/>
    <w:qFormat/>
    <w:uiPriority w:val="0"/>
  </w:style>
  <w:style w:type="paragraph" w:customStyle="1" w:styleId="104">
    <w:name w:val="样式4"/>
    <w:basedOn w:val="4"/>
    <w:qFormat/>
    <w:uiPriority w:val="0"/>
    <w:rPr>
      <w:rFonts w:eastAsia="Arial"/>
    </w:rPr>
  </w:style>
  <w:style w:type="character" w:customStyle="1" w:styleId="105">
    <w:name w:val="批注框文本 Char1"/>
    <w:qFormat/>
    <w:uiPriority w:val="0"/>
    <w:rPr>
      <w:kern w:val="2"/>
      <w:sz w:val="18"/>
      <w:szCs w:val="18"/>
    </w:rPr>
  </w:style>
  <w:style w:type="character" w:customStyle="1" w:styleId="106">
    <w:name w:val="apple-converted-space"/>
    <w:qFormat/>
    <w:uiPriority w:val="0"/>
  </w:style>
  <w:style w:type="character" w:customStyle="1" w:styleId="107">
    <w:name w:val="标题4 Char Char"/>
    <w:link w:val="101"/>
    <w:qFormat/>
    <w:uiPriority w:val="0"/>
    <w:rPr>
      <w:rFonts w:ascii="Arial" w:hAnsi="Arial"/>
      <w:b/>
      <w:bCs/>
      <w:sz w:val="24"/>
      <w:szCs w:val="32"/>
      <w:lang w:bidi="ar-SA"/>
    </w:rPr>
  </w:style>
  <w:style w:type="character" w:customStyle="1" w:styleId="108">
    <w:name w:val="Char Char9"/>
    <w:qFormat/>
    <w:uiPriority w:val="0"/>
    <w:rPr>
      <w:kern w:val="2"/>
      <w:sz w:val="21"/>
      <w:szCs w:val="22"/>
    </w:rPr>
  </w:style>
  <w:style w:type="character" w:customStyle="1" w:styleId="109">
    <w:name w:val="标题5 Char Char"/>
    <w:link w:val="56"/>
    <w:qFormat/>
    <w:uiPriority w:val="0"/>
    <w:rPr>
      <w:rFonts w:ascii="Arial" w:hAnsi="Arial"/>
      <w:b/>
      <w:bCs/>
      <w:sz w:val="24"/>
      <w:szCs w:val="32"/>
      <w:lang w:bidi="ar-SA"/>
    </w:rPr>
  </w:style>
  <w:style w:type="character" w:customStyle="1" w:styleId="110">
    <w:name w:val="正文文本 Char1"/>
    <w:qFormat/>
    <w:uiPriority w:val="0"/>
    <w:rPr>
      <w:kern w:val="2"/>
      <w:sz w:val="21"/>
      <w:szCs w:val="22"/>
    </w:rPr>
  </w:style>
  <w:style w:type="character" w:customStyle="1" w:styleId="111">
    <w:name w:val="彩色网格 - 强调文字颜色 1 Char"/>
    <w:link w:val="58"/>
    <w:qFormat/>
    <w:uiPriority w:val="0"/>
    <w:rPr>
      <w:i/>
      <w:iCs/>
      <w:color w:val="000000"/>
      <w:kern w:val="2"/>
      <w:sz w:val="21"/>
      <w:szCs w:val="22"/>
      <w:lang w:bidi="ar-SA"/>
    </w:rPr>
  </w:style>
  <w:style w:type="character" w:customStyle="1" w:styleId="112">
    <w:name w:val="标题 3 Char"/>
    <w:link w:val="4"/>
    <w:qFormat/>
    <w:uiPriority w:val="0"/>
    <w:rPr>
      <w:rFonts w:eastAsia="宋体"/>
      <w:b/>
      <w:bCs/>
      <w:kern w:val="2"/>
      <w:sz w:val="32"/>
      <w:szCs w:val="32"/>
      <w:lang w:val="en-US" w:eastAsia="zh-CN" w:bidi="ar-SA"/>
    </w:rPr>
  </w:style>
  <w:style w:type="character" w:customStyle="1" w:styleId="113">
    <w:name w:val="_Style 112"/>
    <w:qFormat/>
    <w:uiPriority w:val="0"/>
    <w:rPr>
      <w:smallCaps/>
      <w:color w:val="C0504D"/>
      <w:u w:val="single"/>
    </w:rPr>
  </w:style>
  <w:style w:type="character" w:customStyle="1" w:styleId="114">
    <w:name w:val="文档结构图 Char"/>
    <w:link w:val="17"/>
    <w:qFormat/>
    <w:uiPriority w:val="0"/>
    <w:rPr>
      <w:rFonts w:eastAsia="宋体"/>
      <w:kern w:val="2"/>
      <w:sz w:val="21"/>
      <w:szCs w:val="24"/>
      <w:lang w:val="en-US" w:eastAsia="zh-CN" w:bidi="ar-SA"/>
    </w:rPr>
  </w:style>
  <w:style w:type="character" w:customStyle="1" w:styleId="115">
    <w:name w:val="Char Char7"/>
    <w:qFormat/>
    <w:uiPriority w:val="0"/>
    <w:rPr>
      <w:rFonts w:ascii="Arial" w:hAnsi="Arial" w:eastAsia="黑体"/>
      <w:b/>
      <w:bCs/>
      <w:kern w:val="2"/>
      <w:sz w:val="32"/>
      <w:szCs w:val="32"/>
      <w:lang w:val="en-US" w:eastAsia="zh-CN" w:bidi="ar-SA"/>
    </w:rPr>
  </w:style>
  <w:style w:type="character" w:customStyle="1" w:styleId="116">
    <w:name w:val="页眉 Char"/>
    <w:link w:val="32"/>
    <w:qFormat/>
    <w:uiPriority w:val="0"/>
    <w:rPr>
      <w:rFonts w:eastAsia="宋体"/>
      <w:kern w:val="2"/>
      <w:sz w:val="18"/>
      <w:szCs w:val="18"/>
      <w:lang w:val="en-US" w:eastAsia="zh-CN" w:bidi="ar-SA"/>
    </w:rPr>
  </w:style>
  <w:style w:type="character" w:customStyle="1" w:styleId="117">
    <w:name w:val="_Style 116"/>
    <w:qFormat/>
    <w:uiPriority w:val="0"/>
    <w:rPr>
      <w:b/>
      <w:bCs/>
      <w:i/>
      <w:iCs/>
      <w:color w:val="4F81BD"/>
    </w:rPr>
  </w:style>
  <w:style w:type="character" w:customStyle="1" w:styleId="118">
    <w:name w:val="标题 6 Char"/>
    <w:link w:val="7"/>
    <w:qFormat/>
    <w:uiPriority w:val="0"/>
    <w:rPr>
      <w:rFonts w:ascii="Arial" w:hAnsi="Arial" w:eastAsia="黑体"/>
      <w:b/>
      <w:bCs/>
      <w:sz w:val="24"/>
      <w:szCs w:val="24"/>
      <w:lang w:val="en-US" w:eastAsia="zh-CN" w:bidi="ar-SA"/>
    </w:rPr>
  </w:style>
  <w:style w:type="character" w:customStyle="1" w:styleId="119">
    <w:name w:val="font11"/>
    <w:qFormat/>
    <w:uiPriority w:val="0"/>
    <w:rPr>
      <w:rFonts w:hint="eastAsia" w:ascii="宋体" w:hAnsi="宋体" w:eastAsia="宋体" w:cs="宋体"/>
      <w:color w:val="000000"/>
      <w:sz w:val="20"/>
      <w:szCs w:val="20"/>
      <w:u w:val="none"/>
    </w:rPr>
  </w:style>
  <w:style w:type="character" w:customStyle="1" w:styleId="120">
    <w:name w:val="标题 4 Char1"/>
    <w:link w:val="5"/>
    <w:qFormat/>
    <w:uiPriority w:val="0"/>
    <w:rPr>
      <w:rFonts w:ascii="Arial" w:hAnsi="Arial" w:eastAsia="黑体"/>
      <w:b/>
      <w:bCs/>
      <w:kern w:val="2"/>
      <w:sz w:val="28"/>
      <w:szCs w:val="28"/>
      <w:lang w:val="en-US" w:eastAsia="zh-CN" w:bidi="ar-SA"/>
    </w:rPr>
  </w:style>
  <w:style w:type="character" w:customStyle="1" w:styleId="121">
    <w:name w:val="4号宋体左齐行距1.5倍 Char"/>
    <w:qFormat/>
    <w:uiPriority w:val="0"/>
    <w:rPr>
      <w:rFonts w:eastAsia="宋体"/>
      <w:b/>
      <w:sz w:val="32"/>
      <w:lang w:val="en-US" w:eastAsia="zh-CN" w:bidi="ar-SA"/>
    </w:rPr>
  </w:style>
  <w:style w:type="character" w:customStyle="1" w:styleId="122">
    <w:name w:val="Char Char"/>
    <w:qFormat/>
    <w:uiPriority w:val="0"/>
    <w:rPr>
      <w:rFonts w:ascii="Arial" w:hAnsi="Arial" w:eastAsia="黑体"/>
      <w:b/>
      <w:bCs/>
      <w:kern w:val="2"/>
      <w:sz w:val="32"/>
      <w:szCs w:val="32"/>
      <w:lang w:val="en-US" w:eastAsia="zh-CN" w:bidi="ar-SA"/>
    </w:rPr>
  </w:style>
  <w:style w:type="character" w:customStyle="1" w:styleId="123">
    <w:name w:val="Char Char17"/>
    <w:qFormat/>
    <w:uiPriority w:val="0"/>
    <w:rPr>
      <w:rFonts w:ascii="Cambria" w:hAnsi="Cambria" w:eastAsia="宋体" w:cs="Times New Roman"/>
      <w:b/>
      <w:bCs/>
      <w:kern w:val="2"/>
      <w:sz w:val="32"/>
      <w:szCs w:val="32"/>
    </w:rPr>
  </w:style>
  <w:style w:type="character" w:customStyle="1" w:styleId="124">
    <w:name w:val="font161"/>
    <w:qFormat/>
    <w:uiPriority w:val="0"/>
    <w:rPr>
      <w:b/>
      <w:bCs/>
      <w:sz w:val="32"/>
      <w:szCs w:val="32"/>
    </w:rPr>
  </w:style>
  <w:style w:type="character" w:customStyle="1" w:styleId="125">
    <w:name w:val="日期 Char1"/>
    <w:qFormat/>
    <w:uiPriority w:val="0"/>
    <w:rPr>
      <w:kern w:val="2"/>
      <w:sz w:val="21"/>
      <w:szCs w:val="22"/>
    </w:rPr>
  </w:style>
  <w:style w:type="character" w:customStyle="1" w:styleId="126">
    <w:name w:val="标题 1 Char"/>
    <w:link w:val="2"/>
    <w:qFormat/>
    <w:uiPriority w:val="0"/>
    <w:rPr>
      <w:rFonts w:eastAsia="宋体"/>
      <w:b/>
      <w:bCs/>
      <w:kern w:val="44"/>
      <w:sz w:val="44"/>
      <w:szCs w:val="44"/>
      <w:lang w:val="en-US" w:eastAsia="zh-CN" w:bidi="ar-SA"/>
    </w:rPr>
  </w:style>
  <w:style w:type="character" w:customStyle="1" w:styleId="127">
    <w:name w:val="Para head"/>
    <w:qFormat/>
    <w:uiPriority w:val="0"/>
    <w:rPr>
      <w:rFonts w:ascii="Arial" w:hAnsi="Arial" w:eastAsia="Times New Roman"/>
      <w:sz w:val="20"/>
    </w:rPr>
  </w:style>
  <w:style w:type="character" w:customStyle="1" w:styleId="128">
    <w:name w:val="批注主题 Char1"/>
    <w:qFormat/>
    <w:uiPriority w:val="0"/>
    <w:rPr>
      <w:b/>
      <w:bCs/>
      <w:kern w:val="2"/>
      <w:sz w:val="21"/>
      <w:szCs w:val="22"/>
    </w:rPr>
  </w:style>
  <w:style w:type="character" w:customStyle="1" w:styleId="129">
    <w:name w:val="_Style 128"/>
    <w:qFormat/>
    <w:uiPriority w:val="0"/>
    <w:rPr>
      <w:b/>
      <w:bCs/>
      <w:smallCaps/>
      <w:color w:val="C0504D"/>
      <w:spacing w:val="5"/>
      <w:u w:val="single"/>
    </w:rPr>
  </w:style>
  <w:style w:type="character" w:customStyle="1" w:styleId="130">
    <w:name w:val="文档结构图 Char1"/>
    <w:qFormat/>
    <w:uiPriority w:val="0"/>
    <w:rPr>
      <w:rFonts w:ascii="宋体"/>
      <w:kern w:val="2"/>
      <w:sz w:val="18"/>
      <w:szCs w:val="18"/>
    </w:rPr>
  </w:style>
  <w:style w:type="character" w:customStyle="1" w:styleId="131">
    <w:name w:val="标题 8 Char"/>
    <w:link w:val="9"/>
    <w:qFormat/>
    <w:uiPriority w:val="0"/>
    <w:rPr>
      <w:rFonts w:ascii="Arial" w:hAnsi="Arial" w:eastAsia="黑体"/>
      <w:sz w:val="24"/>
      <w:szCs w:val="24"/>
      <w:lang w:val="en-US" w:eastAsia="zh-CN" w:bidi="ar-SA"/>
    </w:rPr>
  </w:style>
  <w:style w:type="character" w:customStyle="1" w:styleId="132">
    <w:name w:val="正文文本 Char"/>
    <w:link w:val="19"/>
    <w:qFormat/>
    <w:uiPriority w:val="0"/>
    <w:rPr>
      <w:rFonts w:eastAsia="宋体"/>
      <w:kern w:val="2"/>
      <w:sz w:val="21"/>
      <w:szCs w:val="24"/>
      <w:lang w:val="en-US" w:eastAsia="zh-CN" w:bidi="ar-SA"/>
    </w:rPr>
  </w:style>
  <w:style w:type="character" w:customStyle="1" w:styleId="133">
    <w:name w:val="批注文字 Char Char"/>
    <w:qFormat/>
    <w:uiPriority w:val="0"/>
    <w:rPr>
      <w:rFonts w:ascii="宋体" w:hAnsi="Times New Roman" w:eastAsia="宋体" w:cs="Times New Roman"/>
      <w:sz w:val="28"/>
      <w:szCs w:val="20"/>
    </w:rPr>
  </w:style>
  <w:style w:type="character" w:customStyle="1" w:styleId="134">
    <w:name w:val="纯文本 Char"/>
    <w:link w:val="26"/>
    <w:qFormat/>
    <w:uiPriority w:val="0"/>
    <w:rPr>
      <w:rFonts w:ascii="Courier New" w:hAnsi="Courier New" w:eastAsia="宋体"/>
      <w:kern w:val="2"/>
      <w:sz w:val="21"/>
      <w:lang w:val="en-US" w:eastAsia="zh-CN" w:bidi="ar-SA"/>
    </w:rPr>
  </w:style>
  <w:style w:type="character" w:customStyle="1" w:styleId="135">
    <w:name w:val="页眉 Char Char"/>
    <w:qFormat/>
    <w:uiPriority w:val="0"/>
    <w:rPr>
      <w:rFonts w:eastAsia="宋体"/>
      <w:kern w:val="2"/>
      <w:sz w:val="18"/>
      <w:szCs w:val="18"/>
      <w:lang w:val="en-US" w:eastAsia="zh-CN" w:bidi="ar-SA"/>
    </w:rPr>
  </w:style>
  <w:style w:type="character" w:customStyle="1" w:styleId="136">
    <w:name w:val="批注文字 Char"/>
    <w:link w:val="12"/>
    <w:qFormat/>
    <w:uiPriority w:val="0"/>
    <w:rPr>
      <w:rFonts w:eastAsia="宋体"/>
      <w:kern w:val="2"/>
      <w:sz w:val="21"/>
      <w:szCs w:val="24"/>
      <w:lang w:val="en-US" w:eastAsia="zh-CN" w:bidi="ar-SA"/>
    </w:rPr>
  </w:style>
  <w:style w:type="character" w:customStyle="1" w:styleId="137">
    <w:name w:val="页脚 Char Char"/>
    <w:qFormat/>
    <w:uiPriority w:val="0"/>
    <w:rPr>
      <w:rFonts w:eastAsia="宋体"/>
      <w:kern w:val="2"/>
      <w:sz w:val="18"/>
      <w:szCs w:val="18"/>
      <w:lang w:val="en-US" w:eastAsia="zh-CN" w:bidi="ar-SA"/>
    </w:rPr>
  </w:style>
  <w:style w:type="character" w:customStyle="1" w:styleId="138">
    <w:name w:val="_Style 137"/>
    <w:qFormat/>
    <w:uiPriority w:val="0"/>
    <w:rPr>
      <w:i/>
      <w:iCs/>
      <w:color w:val="808080"/>
    </w:rPr>
  </w:style>
  <w:style w:type="character" w:customStyle="1" w:styleId="139">
    <w:name w:val="Char Char19"/>
    <w:qFormat/>
    <w:uiPriority w:val="0"/>
    <w:rPr>
      <w:rFonts w:ascii="黑体" w:hAnsi="宋体" w:eastAsia="黑体"/>
      <w:sz w:val="52"/>
      <w:lang w:val="en-US" w:eastAsia="zh-CN" w:bidi="ar-SA"/>
    </w:rPr>
  </w:style>
  <w:style w:type="character" w:customStyle="1" w:styleId="140">
    <w:name w:val="标题 5 Char"/>
    <w:link w:val="6"/>
    <w:qFormat/>
    <w:uiPriority w:val="0"/>
    <w:rPr>
      <w:rFonts w:ascii="Calibri" w:hAnsi="Calibri" w:eastAsia="宋体"/>
      <w:b/>
      <w:bCs/>
      <w:kern w:val="2"/>
      <w:sz w:val="28"/>
      <w:szCs w:val="28"/>
      <w:lang w:val="en-US" w:eastAsia="zh-CN" w:bidi="ar-SA"/>
    </w:rPr>
  </w:style>
  <w:style w:type="character" w:customStyle="1" w:styleId="141">
    <w:name w:val="标题 7 Char"/>
    <w:link w:val="8"/>
    <w:qFormat/>
    <w:uiPriority w:val="0"/>
    <w:rPr>
      <w:rFonts w:eastAsia="宋体"/>
      <w:b/>
      <w:bCs/>
      <w:sz w:val="24"/>
      <w:szCs w:val="24"/>
      <w:lang w:val="en-US" w:eastAsia="zh-CN" w:bidi="ar-SA"/>
    </w:rPr>
  </w:style>
  <w:style w:type="character" w:customStyle="1" w:styleId="142">
    <w:name w:val="副标题 Char"/>
    <w:link w:val="35"/>
    <w:qFormat/>
    <w:uiPriority w:val="0"/>
    <w:rPr>
      <w:rFonts w:ascii="Arial" w:hAnsi="Arial" w:eastAsia="黑体"/>
      <w:b/>
      <w:bCs/>
      <w:kern w:val="2"/>
      <w:sz w:val="32"/>
      <w:szCs w:val="32"/>
      <w:lang w:val="en-US" w:eastAsia="zh-CN" w:bidi="ar-SA"/>
    </w:rPr>
  </w:style>
  <w:style w:type="character" w:customStyle="1" w:styleId="143">
    <w:name w:val="Char Char18"/>
    <w:qFormat/>
    <w:uiPriority w:val="0"/>
    <w:rPr>
      <w:b/>
      <w:bCs/>
      <w:kern w:val="44"/>
      <w:sz w:val="44"/>
      <w:szCs w:val="44"/>
    </w:rPr>
  </w:style>
  <w:style w:type="character" w:customStyle="1" w:styleId="144">
    <w:name w:val="textcontents"/>
    <w:qFormat/>
    <w:uiPriority w:val="0"/>
    <w:rPr>
      <w:rFonts w:cs="Times New Roman"/>
    </w:rPr>
  </w:style>
  <w:style w:type="character" w:customStyle="1" w:styleId="145">
    <w:name w:val="_Style 144"/>
    <w:qFormat/>
    <w:uiPriority w:val="0"/>
    <w:rPr>
      <w:b/>
      <w:bCs/>
      <w:smallCaps/>
      <w:spacing w:val="5"/>
    </w:rPr>
  </w:style>
  <w:style w:type="character" w:customStyle="1" w:styleId="146">
    <w:name w:val="标题 2 Char"/>
    <w:link w:val="3"/>
    <w:qFormat/>
    <w:uiPriority w:val="0"/>
    <w:rPr>
      <w:rFonts w:ascii="Arial" w:hAnsi="Arial" w:eastAsia="黑体"/>
      <w:b/>
      <w:bCs/>
      <w:kern w:val="2"/>
      <w:sz w:val="32"/>
      <w:szCs w:val="32"/>
      <w:lang w:val="en-US" w:eastAsia="zh-CN" w:bidi="ar-SA"/>
    </w:rPr>
  </w:style>
  <w:style w:type="character" w:customStyle="1" w:styleId="147">
    <w:name w:val="浅色底纹 - 强调文字颜色 2 Char"/>
    <w:link w:val="102"/>
    <w:qFormat/>
    <w:uiPriority w:val="0"/>
    <w:rPr>
      <w:b/>
      <w:bCs/>
      <w:i/>
      <w:iCs/>
      <w:color w:val="4F81BD"/>
      <w:kern w:val="2"/>
      <w:sz w:val="21"/>
      <w:szCs w:val="22"/>
      <w:lang w:bidi="ar-SA"/>
    </w:rPr>
  </w:style>
  <w:style w:type="character" w:customStyle="1" w:styleId="148">
    <w:name w:val="Char Char2"/>
    <w:qFormat/>
    <w:uiPriority w:val="0"/>
    <w:rPr>
      <w:rFonts w:eastAsia="宋体"/>
      <w:kern w:val="2"/>
      <w:sz w:val="21"/>
      <w:szCs w:val="24"/>
      <w:lang w:val="en-US" w:eastAsia="zh-CN" w:bidi="ar-SA"/>
    </w:rPr>
  </w:style>
  <w:style w:type="character" w:customStyle="1" w:styleId="149">
    <w:name w:val="标题 9 Char"/>
    <w:link w:val="10"/>
    <w:qFormat/>
    <w:uiPriority w:val="0"/>
    <w:rPr>
      <w:rFonts w:ascii="Arial" w:hAnsi="Arial" w:eastAsia="黑体"/>
      <w:sz w:val="21"/>
      <w:szCs w:val="21"/>
      <w:lang w:val="en-US" w:eastAsia="zh-CN" w:bidi="ar-SA"/>
    </w:rPr>
  </w:style>
  <w:style w:type="character" w:customStyle="1" w:styleId="150">
    <w:name w:val="正文缩进 Char"/>
    <w:link w:val="14"/>
    <w:qFormat/>
    <w:uiPriority w:val="0"/>
    <w:rPr>
      <w:rFonts w:eastAsia="宋体"/>
      <w:kern w:val="2"/>
      <w:sz w:val="21"/>
      <w:szCs w:val="24"/>
      <w:lang w:val="en-US" w:eastAsia="zh-CN" w:bidi="ar-SA"/>
    </w:rPr>
  </w:style>
  <w:style w:type="character" w:customStyle="1" w:styleId="151">
    <w:name w:val="标题 4 Char"/>
    <w:qFormat/>
    <w:uiPriority w:val="0"/>
    <w:rPr>
      <w:rFonts w:eastAsia="宋体"/>
      <w:sz w:val="21"/>
      <w:lang w:val="en-US" w:eastAsia="zh-CN" w:bidi="ar-SA"/>
    </w:rPr>
  </w:style>
  <w:style w:type="character" w:customStyle="1" w:styleId="152">
    <w:name w:val="ask-title"/>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中国微软</Company>
  <Pages>23</Pages>
  <Words>998</Words>
  <Characters>5695</Characters>
  <Lines>47</Lines>
  <Paragraphs>13</Paragraphs>
  <TotalTime>0</TotalTime>
  <ScaleCrop>false</ScaleCrop>
  <LinksUpToDate>false</LinksUpToDate>
  <CharactersWithSpaces>6680</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2023-04-23T09:06:00Z</dcterms:created>
  <dc:creator>Administrator</dc:creator>
  <cp:lastModifiedBy>Administrator</cp:lastModifiedBy>
  <cp:lastPrinted>2022-09-09T07:41:00Z</cp:lastPrinted>
  <dcterms:modified xsi:type="dcterms:W3CDTF">2023-10-09T06:04:50Z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