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lang w:eastAsia="zh-CN"/>
        </w:rPr>
        <w:t>全鑫矿业项目</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烧结普通砖、煤矸石多孔砖一批材料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137-2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bookmarkStart w:id="0" w:name="_GoBack"/>
      <w:bookmarkEnd w:id="0"/>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w:t>
      </w:r>
      <w:r>
        <w:rPr>
          <w:rFonts w:hint="eastAsia" w:ascii="仿宋" w:hAnsi="仿宋" w:eastAsia="仿宋" w:cs="仿宋_GB2312"/>
          <w:color w:val="000000"/>
          <w:sz w:val="28"/>
          <w:szCs w:val="28"/>
          <w:highlight w:val="none"/>
        </w:rPr>
        <w:t>金</w:t>
      </w:r>
      <w:r>
        <w:rPr>
          <w:rFonts w:hint="eastAsia" w:ascii="仿宋" w:hAnsi="仿宋" w:eastAsia="仿宋" w:cs="仿宋_GB2312"/>
          <w:b/>
          <w:bCs/>
          <w:color w:val="000000"/>
          <w:sz w:val="28"/>
          <w:szCs w:val="28"/>
          <w:highlight w:val="none"/>
          <w:u w:val="single"/>
          <w:lang w:eastAsia="zh-CN"/>
        </w:rPr>
        <w:t>贰仟</w:t>
      </w:r>
      <w:r>
        <w:rPr>
          <w:rFonts w:hint="eastAsia" w:ascii="仿宋" w:hAnsi="仿宋" w:eastAsia="仿宋" w:cs="仿宋_GB2312"/>
          <w:b/>
          <w:bCs/>
          <w:color w:val="000000"/>
          <w:sz w:val="28"/>
          <w:szCs w:val="28"/>
          <w:highlight w:val="none"/>
          <w:u w:val="single"/>
        </w:rPr>
        <w:t>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w:t>
      </w:r>
      <w:r>
        <w:rPr>
          <w:rFonts w:hint="eastAsia" w:ascii="仿宋" w:hAnsi="仿宋" w:eastAsia="仿宋" w:cs="仿宋_GB2312"/>
          <w:sz w:val="28"/>
          <w:szCs w:val="28"/>
          <w:u w:val="single"/>
        </w:rPr>
        <w:t>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全鑫矿业项目烧结普通砖、煤矸石多孔砖</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137-2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3137-2</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66"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96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烧结普通砖</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eastAsia="zh-CN"/>
              </w:rPr>
              <w:t>240*115*53mm；MU20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煤矸石多孔砖</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240*115*90m</w:t>
            </w:r>
            <w:r>
              <w:rPr>
                <w:rFonts w:hint="eastAsia" w:ascii="仿宋" w:hAnsi="仿宋" w:eastAsia="仿宋"/>
                <w:sz w:val="24"/>
                <w:highlight w:val="none"/>
                <w:lang w:eastAsia="zh-CN"/>
              </w:rPr>
              <w:t>m；MU1</w:t>
            </w:r>
            <w:r>
              <w:rPr>
                <w:rFonts w:hint="eastAsia" w:ascii="仿宋" w:hAnsi="仿宋" w:eastAsia="仿宋"/>
                <w:sz w:val="24"/>
                <w:highlight w:val="none"/>
                <w:lang w:val="en-US" w:eastAsia="zh-CN"/>
              </w:rPr>
              <w:t>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B14CF"/>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4F6393"/>
    <w:rsid w:val="367176A6"/>
    <w:rsid w:val="36A24328"/>
    <w:rsid w:val="36DC6FE4"/>
    <w:rsid w:val="36E679F8"/>
    <w:rsid w:val="376042F6"/>
    <w:rsid w:val="385E4AD7"/>
    <w:rsid w:val="3A3173ED"/>
    <w:rsid w:val="3B076549"/>
    <w:rsid w:val="3B82173E"/>
    <w:rsid w:val="3C5B75D3"/>
    <w:rsid w:val="3C7823C8"/>
    <w:rsid w:val="3CA42746"/>
    <w:rsid w:val="3DCC4487"/>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7EA6770"/>
    <w:rsid w:val="69021DF3"/>
    <w:rsid w:val="69AD4D95"/>
    <w:rsid w:val="6A1720C7"/>
    <w:rsid w:val="6A315ABB"/>
    <w:rsid w:val="6A87598F"/>
    <w:rsid w:val="6D260F88"/>
    <w:rsid w:val="6E1970B9"/>
    <w:rsid w:val="6E845C1C"/>
    <w:rsid w:val="6EF47E9C"/>
    <w:rsid w:val="6F74259B"/>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0</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2023-10-09T06:04:30Z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