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书香苑</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采光井</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65</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书香苑</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采光井</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65</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第二事业部池州书香苑项目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w:t>
      </w:r>
      <w:r>
        <w:rPr>
          <w:rFonts w:hint="eastAsia" w:ascii="仿宋" w:hAnsi="仿宋" w:eastAsia="仿宋" w:cs="仿宋_GB2312"/>
          <w:color w:val="000000"/>
          <w:sz w:val="24"/>
          <w:highlight w:val="none"/>
          <w:u w:val="single"/>
        </w:rPr>
        <w:t>含</w:t>
      </w:r>
      <w:r>
        <w:rPr>
          <w:rFonts w:hint="eastAsia" w:ascii="仿宋" w:hAnsi="仿宋" w:eastAsia="仿宋" w:cs="仿宋_GB2312"/>
          <w:color w:val="000000"/>
          <w:sz w:val="24"/>
          <w:highlight w:val="none"/>
          <w:u w:val="single"/>
          <w:lang w:eastAsia="zh-CN"/>
        </w:rPr>
        <w:t>安装</w:t>
      </w:r>
      <w:r>
        <w:rPr>
          <w:rFonts w:hint="eastAsia" w:ascii="仿宋" w:hAnsi="仿宋" w:eastAsia="仿宋" w:cs="仿宋_GB2312"/>
          <w:color w:val="000000"/>
          <w:sz w:val="24"/>
          <w:u w:val="single"/>
        </w:rPr>
        <w:t>费一票制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65</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748"/>
        <w:gridCol w:w="1036"/>
        <w:gridCol w:w="564"/>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1748" w:type="dxa"/>
            <w:vAlign w:val="center"/>
          </w:tcPr>
          <w:p>
            <w:pPr>
              <w:jc w:val="center"/>
              <w:rPr>
                <w:rFonts w:ascii="仿宋" w:hAnsi="仿宋" w:eastAsia="仿宋"/>
                <w:sz w:val="24"/>
              </w:rPr>
            </w:pPr>
            <w:r>
              <w:rPr>
                <w:rFonts w:hint="eastAsia" w:ascii="仿宋" w:hAnsi="仿宋" w:eastAsia="仿宋" w:cs="仿宋"/>
                <w:sz w:val="24"/>
              </w:rPr>
              <w:t>型号规格</w:t>
            </w:r>
          </w:p>
        </w:tc>
        <w:tc>
          <w:tcPr>
            <w:tcW w:w="1036" w:type="dxa"/>
            <w:vAlign w:val="center"/>
          </w:tcPr>
          <w:p>
            <w:pPr>
              <w:jc w:val="center"/>
              <w:rPr>
                <w:rFonts w:ascii="仿宋" w:hAnsi="仿宋" w:eastAsia="仿宋"/>
                <w:sz w:val="24"/>
              </w:rPr>
            </w:pPr>
            <w:r>
              <w:rPr>
                <w:rFonts w:hint="eastAsia" w:ascii="仿宋" w:hAnsi="仿宋" w:eastAsia="仿宋" w:cs="仿宋"/>
                <w:sz w:val="24"/>
              </w:rPr>
              <w:t>单位</w:t>
            </w:r>
          </w:p>
        </w:tc>
        <w:tc>
          <w:tcPr>
            <w:tcW w:w="1719"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429"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采光井一</w:t>
            </w:r>
          </w:p>
        </w:tc>
        <w:tc>
          <w:tcPr>
            <w:tcW w:w="1748" w:type="dxa"/>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2100*7200*1200mm</w:t>
            </w:r>
          </w:p>
        </w:tc>
        <w:tc>
          <w:tcPr>
            <w:tcW w:w="1036"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个</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r>
              <w:rPr>
                <w:rFonts w:hint="eastAsia" w:ascii="仿宋" w:hAnsi="仿宋" w:eastAsia="仿宋"/>
                <w:sz w:val="24"/>
                <w:lang w:eastAsia="zh-CN"/>
              </w:rPr>
              <w:t>详见技术清单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采光井二</w:t>
            </w:r>
          </w:p>
        </w:tc>
        <w:tc>
          <w:tcPr>
            <w:tcW w:w="174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2100*5400*1200mm</w:t>
            </w:r>
          </w:p>
        </w:tc>
        <w:tc>
          <w:tcPr>
            <w:tcW w:w="1036"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个</w:t>
            </w:r>
          </w:p>
        </w:tc>
        <w:tc>
          <w:tcPr>
            <w:tcW w:w="1719"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lang w:eastAsia="zh-CN"/>
              </w:rPr>
              <w:t>详见技术清单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采光井三</w:t>
            </w:r>
          </w:p>
        </w:tc>
        <w:tc>
          <w:tcPr>
            <w:tcW w:w="174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2100*7800*1200mm</w:t>
            </w:r>
          </w:p>
        </w:tc>
        <w:tc>
          <w:tcPr>
            <w:tcW w:w="1036"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个</w:t>
            </w:r>
          </w:p>
        </w:tc>
        <w:tc>
          <w:tcPr>
            <w:tcW w:w="1719"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lang w:eastAsia="zh-CN"/>
              </w:rPr>
              <w:t>详见技术清单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采光井四</w:t>
            </w:r>
          </w:p>
        </w:tc>
        <w:tc>
          <w:tcPr>
            <w:tcW w:w="174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5300*6050*1200mm</w:t>
            </w:r>
          </w:p>
        </w:tc>
        <w:tc>
          <w:tcPr>
            <w:tcW w:w="1036"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个</w:t>
            </w:r>
          </w:p>
        </w:tc>
        <w:tc>
          <w:tcPr>
            <w:tcW w:w="1719"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lang w:eastAsia="zh-CN"/>
              </w:rPr>
              <w:t>详见技术清单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采光井五</w:t>
            </w:r>
          </w:p>
        </w:tc>
        <w:tc>
          <w:tcPr>
            <w:tcW w:w="174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5250*7900*1200mm</w:t>
            </w:r>
          </w:p>
        </w:tc>
        <w:tc>
          <w:tcPr>
            <w:tcW w:w="1036"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个</w:t>
            </w:r>
          </w:p>
        </w:tc>
        <w:tc>
          <w:tcPr>
            <w:tcW w:w="1719"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lang w:eastAsia="zh-CN"/>
              </w:rPr>
              <w:t>详见技术清单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1748" w:type="dxa"/>
            <w:vAlign w:val="center"/>
          </w:tcPr>
          <w:p>
            <w:pPr>
              <w:jc w:val="center"/>
              <w:rPr>
                <w:sz w:val="24"/>
              </w:rPr>
            </w:pPr>
          </w:p>
        </w:tc>
        <w:tc>
          <w:tcPr>
            <w:tcW w:w="1036" w:type="dxa"/>
            <w:vAlign w:val="center"/>
          </w:tcPr>
          <w:p>
            <w:pPr>
              <w:jc w:val="center"/>
              <w:rPr>
                <w:sz w:val="24"/>
              </w:rPr>
            </w:pPr>
          </w:p>
        </w:tc>
        <w:tc>
          <w:tcPr>
            <w:tcW w:w="1719" w:type="dxa"/>
            <w:gridSpan w:val="2"/>
            <w:vAlign w:val="center"/>
          </w:tcPr>
          <w:p>
            <w:pPr>
              <w:jc w:val="center"/>
              <w:rPr>
                <w:sz w:val="24"/>
              </w:rPr>
            </w:pPr>
          </w:p>
        </w:tc>
        <w:tc>
          <w:tcPr>
            <w:tcW w:w="1868" w:type="dxa"/>
            <w:vAlign w:val="center"/>
          </w:tcPr>
          <w:p>
            <w:pPr>
              <w:jc w:val="center"/>
              <w:rPr>
                <w:sz w:val="24"/>
              </w:rPr>
            </w:pPr>
          </w:p>
        </w:tc>
        <w:tc>
          <w:tcPr>
            <w:tcW w:w="2429"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5C3187"/>
    <w:rsid w:val="26A26CEB"/>
    <w:rsid w:val="27235E7D"/>
    <w:rsid w:val="276F4E38"/>
    <w:rsid w:val="2834446C"/>
    <w:rsid w:val="299D4A4C"/>
    <w:rsid w:val="2A1902C2"/>
    <w:rsid w:val="2BE13F0B"/>
    <w:rsid w:val="2C6224E4"/>
    <w:rsid w:val="2C995D0F"/>
    <w:rsid w:val="2D3E7816"/>
    <w:rsid w:val="2DBC53C0"/>
    <w:rsid w:val="2F3E6548"/>
    <w:rsid w:val="2FF670DA"/>
    <w:rsid w:val="30892FC6"/>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0</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2023-11-02T07:08:51Z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