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铜陵铜冠建安第二事业部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海亮项目水泥水稳毛石材料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TGJA-WZ-2023173</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2023年11月17日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2023年11月17日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2023年11月23日9:00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2023年11月23日9:00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2023年11月22日12:00止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壹拾</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铜陵铜冠建安第二事业部海亮项目水泥水稳毛石材料TGJA-WZ-2023173投标保证金。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（1）投标人在投标截止后</w:t>
      </w:r>
      <w:bookmarkStart w:id="0" w:name="_GoBack"/>
      <w:bookmarkEnd w:id="0"/>
      <w:r>
        <w:rPr>
          <w:rFonts w:hint="eastAsia" w:ascii="仿宋" w:hAnsi="仿宋" w:eastAsia="仿宋" w:cs="仿宋_GB2312"/>
          <w:sz w:val="28"/>
          <w:szCs w:val="28"/>
        </w:rPr>
        <w:t xml:space="preserve">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2023年11月23日9:00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ascii="仿宋" w:hAnsi="仿宋" w:eastAsia="仿宋" w:cs="仿宋_GB2312"/>
          <w:b/>
          <w:sz w:val="36"/>
          <w:szCs w:val="36"/>
        </w:rPr>
      </w:pP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
          <w:sz w:val="28"/>
          <w:szCs w:val="28"/>
        </w:rPr>
      </w:pPr>
      <w:r>
        <w:rPr>
          <w:rFonts w:hint="eastAsia" w:ascii="仿宋" w:hAnsi="仿宋" w:eastAsia="仿宋" w:cs="仿宋_GB2312"/>
          <w:sz w:val="28"/>
          <w:szCs w:val="28"/>
        </w:rPr>
        <w:t>（1）</w:t>
      </w:r>
      <w:r>
        <w:rPr>
          <w:rFonts w:hint="eastAsia" w:ascii="仿宋" w:hAnsi="仿宋" w:eastAsia="仿宋" w:cs="仿宋"/>
          <w:sz w:val="28"/>
          <w:szCs w:val="28"/>
        </w:rPr>
        <w:t>材料质量要求</w:t>
      </w:r>
    </w:p>
    <w:p>
      <w:pPr>
        <w:spacing w:line="440" w:lineRule="exact"/>
        <w:ind w:firstLine="560" w:firstLineChars="200"/>
        <w:rPr>
          <w:rFonts w:ascii="仿宋" w:hAnsi="仿宋" w:eastAsia="仿宋" w:cs="仿宋_GB2312"/>
          <w:sz w:val="28"/>
          <w:szCs w:val="28"/>
        </w:rPr>
      </w:pPr>
      <w:r>
        <w:rPr>
          <w:rFonts w:hint="eastAsia" w:ascii="仿宋" w:hAnsi="仿宋" w:eastAsia="仿宋" w:cs="仿宋"/>
          <w:sz w:val="28"/>
          <w:szCs w:val="28"/>
        </w:rPr>
        <w:t>应符合国家最新质量标准和招标文件要求。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材料送至铜冠建安公司第二事业部铜陵市区施工现场。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（1）本次招标价为含税含运费一票制价格。</w:t>
      </w:r>
    </w:p>
    <w:p>
      <w:pPr>
        <w:spacing w:line="560" w:lineRule="exact"/>
        <w:ind w:left="560"/>
        <w:rPr>
          <w:rFonts w:ascii="仿宋" w:hAnsi="仿宋" w:eastAsia="仿宋" w:cs="仿宋_GB2312"/>
          <w:sz w:val="28"/>
          <w:szCs w:val="28"/>
        </w:rPr>
      </w:pPr>
      <w:r>
        <w:rPr>
          <w:rFonts w:hint="eastAsia" w:ascii="仿宋" w:hAnsi="仿宋" w:eastAsia="仿宋" w:cs="仿宋_GB2312"/>
          <w:sz w:val="28"/>
          <w:szCs w:val="28"/>
        </w:rPr>
        <w:t>（2）一经中标，合同期内价格不予调整。</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（1）以招标人现场签字验收的收货单数量为准，</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（2）招标人有抽磅的权利，如抽磅数量与送货单数量负误差超过千分之三，以招标人抽磅数量结算且扣除该车50%货款，如发生三次以上，招标人有权解除合同。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ascii="仿宋" w:hAnsi="仿宋" w:eastAsia="仿宋" w:cs="仿宋_GB2312"/>
          <w:b/>
          <w:sz w:val="28"/>
          <w:szCs w:val="28"/>
        </w:rPr>
      </w:pPr>
      <w:r>
        <w:rPr>
          <w:rFonts w:hint="eastAsia" w:ascii="仿宋" w:hAnsi="仿宋" w:eastAsia="仿宋" w:cs="仿宋_GB2312"/>
          <w:color w:val="000000" w:themeColor="text1"/>
          <w:sz w:val="28"/>
          <w:szCs w:val="28"/>
          <w:u w:val="single"/>
        </w:rPr>
        <w:t>合同签订后，</w:t>
      </w:r>
      <w:r>
        <w:rPr>
          <w:rFonts w:hint="eastAsia" w:ascii="仿宋" w:hAnsi="仿宋" w:eastAsia="仿宋" w:cs="仿宋"/>
          <w:color w:val="000000" w:themeColor="text1"/>
          <w:sz w:val="28"/>
          <w:szCs w:val="28"/>
          <w:u w:val="single"/>
        </w:rPr>
        <w:t>货到验收合格后开具发票，入账次月支付40%，春节前支付至80%，剩余20%该春节后两年内付清。</w:t>
      </w:r>
      <w:r>
        <w:rPr>
          <w:rFonts w:hint="eastAsia" w:ascii="仿宋" w:hAnsi="仿宋" w:eastAsia="仿宋" w:cs="仿宋"/>
          <w:color w:val="171A1D"/>
          <w:sz w:val="28"/>
          <w:szCs w:val="28"/>
          <w:u w:val="single"/>
          <w:shd w:val="clear" w:color="auto" w:fill="FFFFFF"/>
        </w:rPr>
        <w:t>货款以对公转账方式支付至供方对公账户，支付电汇或不超过发票总金额50%的6个月内银行电子承兑。</w:t>
      </w:r>
    </w:p>
    <w:p>
      <w:pPr>
        <w:spacing w:line="520" w:lineRule="exact"/>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064" w:firstLineChars="800"/>
        <w:rPr>
          <w:rFonts w:ascii="仿宋" w:hAnsi="仿宋" w:eastAsia="仿宋" w:cs="仿宋_GB2312"/>
          <w:sz w:val="28"/>
          <w:szCs w:val="28"/>
        </w:rPr>
      </w:pP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ascii="仿宋" w:hAnsi="仿宋" w:eastAsia="仿宋"/>
          <w:b/>
          <w:sz w:val="28"/>
          <w:szCs w:val="28"/>
        </w:rPr>
      </w:pPr>
      <w:r>
        <w:rPr>
          <w:rFonts w:hint="eastAsia" w:ascii="仿宋" w:hAnsi="仿宋" w:eastAsia="仿宋"/>
          <w:b/>
          <w:sz w:val="28"/>
          <w:szCs w:val="28"/>
        </w:rPr>
        <w:t>报价单（TGJA-WZ-2023173）</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731"/>
        <w:gridCol w:w="849"/>
        <w:gridCol w:w="1170"/>
        <w:gridCol w:w="1710"/>
        <w:gridCol w:w="192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731"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923"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41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356"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314" w:type="dxa"/>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43" w:type="dxa"/>
            <w:vAlign w:val="center"/>
          </w:tcPr>
          <w:p>
            <w:pPr>
              <w:spacing w:line="400" w:lineRule="exact"/>
              <w:jc w:val="center"/>
              <w:rPr>
                <w:rFonts w:ascii="仿宋" w:hAnsi="仿宋" w:eastAsia="仿宋"/>
                <w:sz w:val="24"/>
              </w:rPr>
            </w:pPr>
            <w:r>
              <w:rPr>
                <w:rFonts w:hint="eastAsia" w:ascii="仿宋" w:hAnsi="仿宋" w:eastAsia="仿宋"/>
                <w:sz w:val="24"/>
              </w:rPr>
              <w:t>1</w:t>
            </w:r>
          </w:p>
        </w:tc>
        <w:tc>
          <w:tcPr>
            <w:tcW w:w="1530" w:type="dxa"/>
            <w:vAlign w:val="center"/>
          </w:tcPr>
          <w:p>
            <w:pPr>
              <w:spacing w:line="400" w:lineRule="exact"/>
              <w:jc w:val="center"/>
              <w:rPr>
                <w:rFonts w:ascii="仿宋" w:hAnsi="仿宋" w:eastAsia="仿宋"/>
                <w:sz w:val="24"/>
              </w:rPr>
            </w:pPr>
            <w:r>
              <w:rPr>
                <w:rFonts w:hint="eastAsia" w:ascii="仿宋" w:hAnsi="仿宋" w:eastAsia="仿宋"/>
                <w:sz w:val="24"/>
              </w:rPr>
              <w:t>水泥</w:t>
            </w:r>
          </w:p>
        </w:tc>
        <w:tc>
          <w:tcPr>
            <w:tcW w:w="1731" w:type="dxa"/>
            <w:vAlign w:val="center"/>
          </w:tcPr>
          <w:p>
            <w:pPr>
              <w:spacing w:line="400" w:lineRule="exact"/>
              <w:jc w:val="center"/>
              <w:rPr>
                <w:rFonts w:ascii="仿宋" w:hAnsi="仿宋" w:eastAsia="仿宋"/>
                <w:sz w:val="24"/>
              </w:rPr>
            </w:pPr>
            <w:r>
              <w:rPr>
                <w:rFonts w:hint="eastAsia" w:ascii="仿宋" w:hAnsi="仿宋" w:eastAsia="仿宋"/>
                <w:sz w:val="24"/>
              </w:rPr>
              <w:t>散装32.5</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吨</w:t>
            </w:r>
          </w:p>
        </w:tc>
        <w:tc>
          <w:tcPr>
            <w:tcW w:w="1170" w:type="dxa"/>
            <w:vAlign w:val="center"/>
          </w:tcPr>
          <w:p>
            <w:pPr>
              <w:spacing w:line="400" w:lineRule="exact"/>
              <w:jc w:val="center"/>
              <w:rPr>
                <w:rFonts w:ascii="仿宋" w:hAnsi="仿宋" w:eastAsia="仿宋"/>
                <w:sz w:val="24"/>
              </w:rPr>
            </w:pPr>
            <w:r>
              <w:rPr>
                <w:rFonts w:hint="eastAsia" w:ascii="仿宋" w:hAnsi="仿宋" w:eastAsia="仿宋"/>
                <w:sz w:val="24"/>
              </w:rPr>
              <w:t>12000</w:t>
            </w:r>
          </w:p>
        </w:tc>
        <w:tc>
          <w:tcPr>
            <w:tcW w:w="1710" w:type="dxa"/>
            <w:vAlign w:val="center"/>
          </w:tcPr>
          <w:p>
            <w:pPr>
              <w:spacing w:line="400" w:lineRule="exact"/>
              <w:jc w:val="center"/>
              <w:rPr>
                <w:rFonts w:ascii="仿宋" w:hAnsi="仿宋" w:eastAsia="仿宋"/>
                <w:sz w:val="24"/>
              </w:rPr>
            </w:pPr>
          </w:p>
        </w:tc>
        <w:tc>
          <w:tcPr>
            <w:tcW w:w="192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spacing w:line="400" w:lineRule="exact"/>
              <w:jc w:val="center"/>
              <w:rPr>
                <w:rFonts w:ascii="仿宋" w:hAnsi="仿宋" w:eastAsia="仿宋"/>
                <w:sz w:val="24"/>
              </w:rPr>
            </w:pPr>
            <w:r>
              <w:rPr>
                <w:rFonts w:ascii="仿宋" w:hAnsi="仿宋" w:eastAsia="仿宋"/>
                <w:sz w:val="24"/>
              </w:rPr>
              <w:t>GB 175-2007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43" w:type="dxa"/>
            <w:vAlign w:val="center"/>
          </w:tcPr>
          <w:p>
            <w:pPr>
              <w:spacing w:line="400" w:lineRule="exact"/>
              <w:jc w:val="center"/>
              <w:rPr>
                <w:rFonts w:ascii="仿宋" w:hAnsi="仿宋" w:eastAsia="仿宋"/>
                <w:sz w:val="24"/>
              </w:rPr>
            </w:pPr>
            <w:r>
              <w:rPr>
                <w:rFonts w:hint="eastAsia" w:ascii="仿宋" w:hAnsi="仿宋" w:eastAsia="仿宋"/>
                <w:sz w:val="24"/>
              </w:rPr>
              <w:t>2</w:t>
            </w:r>
          </w:p>
        </w:tc>
        <w:tc>
          <w:tcPr>
            <w:tcW w:w="1530" w:type="dxa"/>
            <w:vAlign w:val="center"/>
          </w:tcPr>
          <w:p>
            <w:pPr>
              <w:spacing w:line="400" w:lineRule="exact"/>
              <w:jc w:val="center"/>
              <w:rPr>
                <w:rFonts w:ascii="仿宋" w:hAnsi="仿宋" w:eastAsia="仿宋"/>
                <w:sz w:val="24"/>
              </w:rPr>
            </w:pPr>
            <w:r>
              <w:rPr>
                <w:rFonts w:hint="eastAsia" w:ascii="仿宋" w:hAnsi="仿宋" w:eastAsia="仿宋"/>
                <w:sz w:val="24"/>
              </w:rPr>
              <w:t>水稳</w:t>
            </w:r>
          </w:p>
        </w:tc>
        <w:tc>
          <w:tcPr>
            <w:tcW w:w="1731" w:type="dxa"/>
            <w:vAlign w:val="center"/>
          </w:tcPr>
          <w:p>
            <w:pPr>
              <w:spacing w:line="400" w:lineRule="exact"/>
              <w:jc w:val="center"/>
              <w:rPr>
                <w:rFonts w:ascii="仿宋" w:hAnsi="仿宋" w:eastAsia="仿宋"/>
                <w:sz w:val="24"/>
              </w:rPr>
            </w:pPr>
            <w:r>
              <w:rPr>
                <w:rFonts w:hint="eastAsia" w:ascii="仿宋" w:hAnsi="仿宋" w:eastAsia="仿宋"/>
                <w:sz w:val="24"/>
              </w:rPr>
              <w:t>5%水泥</w:t>
            </w: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吨</w:t>
            </w:r>
          </w:p>
        </w:tc>
        <w:tc>
          <w:tcPr>
            <w:tcW w:w="1170" w:type="dxa"/>
            <w:vAlign w:val="center"/>
          </w:tcPr>
          <w:p>
            <w:pPr>
              <w:spacing w:line="400" w:lineRule="exact"/>
              <w:jc w:val="center"/>
              <w:rPr>
                <w:rFonts w:ascii="仿宋" w:hAnsi="仿宋" w:eastAsia="仿宋"/>
                <w:sz w:val="24"/>
              </w:rPr>
            </w:pPr>
            <w:r>
              <w:rPr>
                <w:rFonts w:hint="eastAsia" w:ascii="仿宋" w:hAnsi="仿宋" w:eastAsia="仿宋"/>
                <w:sz w:val="24"/>
              </w:rPr>
              <w:t>9600</w:t>
            </w:r>
          </w:p>
        </w:tc>
        <w:tc>
          <w:tcPr>
            <w:tcW w:w="1710" w:type="dxa"/>
            <w:vAlign w:val="center"/>
          </w:tcPr>
          <w:p>
            <w:pPr>
              <w:spacing w:line="400" w:lineRule="exact"/>
              <w:jc w:val="center"/>
              <w:rPr>
                <w:rFonts w:ascii="仿宋" w:hAnsi="仿宋" w:eastAsia="仿宋"/>
                <w:sz w:val="24"/>
              </w:rPr>
            </w:pPr>
          </w:p>
        </w:tc>
        <w:tc>
          <w:tcPr>
            <w:tcW w:w="192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443" w:type="dxa"/>
            <w:vAlign w:val="center"/>
          </w:tcPr>
          <w:p>
            <w:pPr>
              <w:spacing w:line="400" w:lineRule="exact"/>
              <w:jc w:val="center"/>
              <w:rPr>
                <w:rFonts w:ascii="仿宋" w:hAnsi="仿宋" w:eastAsia="仿宋"/>
                <w:sz w:val="24"/>
              </w:rPr>
            </w:pPr>
            <w:r>
              <w:rPr>
                <w:rFonts w:hint="eastAsia" w:ascii="仿宋" w:hAnsi="仿宋" w:eastAsia="仿宋"/>
                <w:sz w:val="24"/>
              </w:rPr>
              <w:t>3</w:t>
            </w:r>
          </w:p>
        </w:tc>
        <w:tc>
          <w:tcPr>
            <w:tcW w:w="1530" w:type="dxa"/>
            <w:vAlign w:val="center"/>
          </w:tcPr>
          <w:p>
            <w:pPr>
              <w:spacing w:line="400" w:lineRule="exact"/>
              <w:jc w:val="center"/>
              <w:rPr>
                <w:rFonts w:ascii="仿宋" w:hAnsi="仿宋" w:eastAsia="仿宋"/>
                <w:sz w:val="24"/>
              </w:rPr>
            </w:pPr>
            <w:r>
              <w:rPr>
                <w:rFonts w:hint="eastAsia" w:ascii="仿宋" w:hAnsi="仿宋" w:eastAsia="仿宋"/>
                <w:sz w:val="24"/>
              </w:rPr>
              <w:t>毛石</w:t>
            </w:r>
          </w:p>
        </w:tc>
        <w:tc>
          <w:tcPr>
            <w:tcW w:w="1731" w:type="dxa"/>
            <w:vAlign w:val="center"/>
          </w:tcPr>
          <w:p>
            <w:pPr>
              <w:spacing w:line="400" w:lineRule="exact"/>
              <w:jc w:val="center"/>
              <w:rPr>
                <w:rFonts w:ascii="仿宋" w:hAnsi="仿宋" w:eastAsia="仿宋"/>
                <w:sz w:val="24"/>
              </w:rPr>
            </w:pPr>
          </w:p>
        </w:tc>
        <w:tc>
          <w:tcPr>
            <w:tcW w:w="849" w:type="dxa"/>
            <w:vAlign w:val="center"/>
          </w:tcPr>
          <w:p>
            <w:pPr>
              <w:spacing w:line="400" w:lineRule="exact"/>
              <w:jc w:val="center"/>
              <w:rPr>
                <w:rFonts w:ascii="仿宋" w:hAnsi="仿宋" w:eastAsia="仿宋"/>
                <w:sz w:val="24"/>
              </w:rPr>
            </w:pPr>
            <w:r>
              <w:rPr>
                <w:rFonts w:hint="eastAsia" w:ascii="仿宋" w:hAnsi="仿宋" w:eastAsia="仿宋"/>
                <w:sz w:val="24"/>
              </w:rPr>
              <w:t>吨</w:t>
            </w:r>
          </w:p>
        </w:tc>
        <w:tc>
          <w:tcPr>
            <w:tcW w:w="1170" w:type="dxa"/>
            <w:vAlign w:val="center"/>
          </w:tcPr>
          <w:p>
            <w:pPr>
              <w:spacing w:line="400" w:lineRule="exact"/>
              <w:jc w:val="center"/>
              <w:rPr>
                <w:rFonts w:ascii="仿宋" w:hAnsi="仿宋" w:eastAsia="仿宋"/>
                <w:sz w:val="24"/>
              </w:rPr>
            </w:pPr>
            <w:r>
              <w:rPr>
                <w:rFonts w:hint="eastAsia" w:ascii="仿宋" w:hAnsi="仿宋" w:eastAsia="仿宋"/>
                <w:sz w:val="24"/>
              </w:rPr>
              <w:t>41600</w:t>
            </w:r>
          </w:p>
        </w:tc>
        <w:tc>
          <w:tcPr>
            <w:tcW w:w="1710" w:type="dxa"/>
            <w:vAlign w:val="center"/>
          </w:tcPr>
          <w:p>
            <w:pPr>
              <w:spacing w:line="400" w:lineRule="exact"/>
              <w:jc w:val="center"/>
              <w:rPr>
                <w:rFonts w:ascii="仿宋" w:hAnsi="仿宋" w:eastAsia="仿宋"/>
                <w:sz w:val="24"/>
              </w:rPr>
            </w:pPr>
          </w:p>
        </w:tc>
        <w:tc>
          <w:tcPr>
            <w:tcW w:w="1923" w:type="dxa"/>
            <w:vAlign w:val="center"/>
          </w:tcPr>
          <w:p>
            <w:pPr>
              <w:spacing w:line="400" w:lineRule="exact"/>
              <w:jc w:val="center"/>
              <w:rPr>
                <w:rFonts w:ascii="仿宋" w:hAnsi="仿宋" w:eastAsia="仿宋"/>
                <w:sz w:val="24"/>
              </w:rPr>
            </w:pPr>
          </w:p>
        </w:tc>
        <w:tc>
          <w:tcPr>
            <w:tcW w:w="1417" w:type="dxa"/>
            <w:vAlign w:val="center"/>
          </w:tcPr>
          <w:p>
            <w:pPr>
              <w:spacing w:line="400" w:lineRule="exact"/>
              <w:jc w:val="center"/>
              <w:rPr>
                <w:rFonts w:ascii="仿宋" w:hAnsi="仿宋" w:eastAsia="仿宋"/>
                <w:sz w:val="24"/>
              </w:rPr>
            </w:pPr>
          </w:p>
        </w:tc>
        <w:tc>
          <w:tcPr>
            <w:tcW w:w="2356" w:type="dxa"/>
            <w:gridSpan w:val="2"/>
            <w:vAlign w:val="center"/>
          </w:tcPr>
          <w:p>
            <w:pPr>
              <w:spacing w:line="400" w:lineRule="exact"/>
              <w:jc w:val="center"/>
              <w:rPr>
                <w:rFonts w:ascii="仿宋" w:hAnsi="仿宋" w:eastAsia="仿宋"/>
                <w:sz w:val="24"/>
              </w:rPr>
            </w:pPr>
          </w:p>
        </w:tc>
        <w:tc>
          <w:tcPr>
            <w:tcW w:w="2314"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ascii="仿宋" w:hAnsi="仿宋" w:eastAsia="仿宋"/>
                <w:sz w:val="24"/>
              </w:rPr>
            </w:pPr>
          </w:p>
        </w:tc>
        <w:tc>
          <w:tcPr>
            <w:tcW w:w="3633"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ascii="仿宋" w:hAnsi="仿宋" w:eastAsia="仿宋"/>
                <w:sz w:val="24"/>
              </w:rPr>
            </w:pPr>
          </w:p>
        </w:tc>
        <w:tc>
          <w:tcPr>
            <w:tcW w:w="3633" w:type="dxa"/>
            <w:gridSpan w:val="2"/>
            <w:vMerge w:val="continue"/>
            <w:vAlign w:val="center"/>
          </w:tcPr>
          <w:p>
            <w:pPr>
              <w:spacing w:line="400" w:lineRule="exact"/>
              <w:jc w:val="center"/>
              <w:rPr>
                <w:rFonts w:ascii="仿宋" w:hAnsi="仿宋" w:eastAsia="仿宋"/>
                <w:sz w:val="24"/>
              </w:rPr>
            </w:pPr>
          </w:p>
        </w:tc>
        <w:tc>
          <w:tcPr>
            <w:tcW w:w="2472" w:type="dxa"/>
            <w:gridSpan w:val="2"/>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ascii="仿宋" w:hAnsi="仿宋" w:eastAsia="仿宋"/>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i1025" o:spt="75" alt="tlys" type="#_x0000_t75" style="height:16.3pt;width:18.15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pict>
        <v:shape id="_x0000_i1026" o:spt="75" alt="tlys" type="#_x0000_t75" style="height:16.3pt;width:18.15pt;" filled="f" o:preferrelative="t" stroked="f" coordsize="21600,21600">
          <v:path/>
          <v:fill on="f" focussize="0,0"/>
          <v:stroke on="f" joinstyle="miter"/>
          <v:imagedata r:id="rId1" o:title="tlys"/>
          <o:lock v:ext="edit" aspectratio="t"/>
          <w10:wrap type="none"/>
          <w10:anchorlock/>
        </v:shape>
      </w:pict>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5590EC9"/>
    <w:rsid w:val="257F4BF0"/>
    <w:rsid w:val="25917440"/>
    <w:rsid w:val="25A13254"/>
    <w:rsid w:val="262F357C"/>
    <w:rsid w:val="2659211B"/>
    <w:rsid w:val="266C56F3"/>
    <w:rsid w:val="26A26CEB"/>
    <w:rsid w:val="27235E7D"/>
    <w:rsid w:val="276F4E38"/>
    <w:rsid w:val="2834446C"/>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uiPriority w:val="0"/>
    <w:pPr>
      <w:spacing w:line="400" w:lineRule="exact"/>
    </w:pPr>
    <w:rPr>
      <w:rFonts w:eastAsia="黑体" w:cs="宋体"/>
      <w:b w:val="0"/>
      <w:bCs w:val="0"/>
      <w:sz w:val="24"/>
      <w:szCs w:val="20"/>
    </w:rPr>
  </w:style>
  <w:style w:type="paragraph" w:customStyle="1" w:styleId="100">
    <w:name w:val="xl26"/>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uiPriority w:val="0"/>
    <w:rPr>
      <w:rFonts w:ascii="Arial" w:hAnsi="Arial" w:eastAsia="黑体"/>
      <w:b/>
      <w:bCs/>
      <w:sz w:val="24"/>
      <w:szCs w:val="24"/>
      <w:lang w:val="en-US" w:eastAsia="zh-CN" w:bidi="ar-SA"/>
    </w:rPr>
  </w:style>
  <w:style w:type="character" w:customStyle="1" w:styleId="146">
    <w:name w:val="标题 2 Char"/>
    <w:link w:val="3"/>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14</Pages>
  <Words>732</Words>
  <Characters>4177</Characters>
  <Lines>34</Lines>
  <Paragraphs>9</Paragraphs>
  <TotalTime>15</TotalTime>
  <ScaleCrop>false</ScaleCrop>
  <LinksUpToDate>false</LinksUpToDate>
  <CharactersWithSpaces>4900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2023-11-17T06:38:08Z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