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厄瓜多尔项目-成品气楼</w:t>
      </w:r>
    </w:p>
    <w:p>
      <w:pPr>
        <w:spacing w:line="700" w:lineRule="exact"/>
        <w:jc w:val="center"/>
        <w:rPr>
          <w:rFonts w:asciiTheme="minorEastAsia" w:hAnsiTheme="minorEastAsia" w:eastAsiaTheme="minorEastAsia" w:cstheme="minorEastAsia"/>
          <w:sz w:val="44"/>
          <w:szCs w:val="44"/>
        </w:rPr>
      </w:pPr>
      <w:bookmarkStart w:id="0" w:name="_GoBack"/>
      <w:bookmarkEnd w:id="0"/>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3182</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numPr>
          <w:ilvl w:val="0"/>
          <w:numId w:val="2"/>
        </w:num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 </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4</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厄瓜多尔项目-成品气楼</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B1E53B"/>
    <w:multiLevelType w:val="singleLevel"/>
    <w:tmpl w:val="3BB1E53B"/>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14</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2023-12-21T03:06:39Z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