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铜基新材料项目-排水材料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3185</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bookmarkStart w:id="0" w:name="_GoBack"/>
      <w:bookmarkEnd w:id="0"/>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铜基新材料项目-排水材料</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49</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2023-12-27T07:36:09Z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