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铜陵铜冠建安第</w:t>
      </w:r>
      <w:r>
        <w:rPr>
          <w:rFonts w:hint="eastAsia" w:ascii="仿宋" w:hAnsi="仿宋" w:eastAsia="仿宋" w:cs="宋体"/>
          <w:b/>
          <w:bCs/>
          <w:kern w:val="1"/>
          <w:sz w:val="44"/>
          <w:szCs w:val="44"/>
          <w:highlight w:val="none"/>
          <w:u w:val="single"/>
          <w:lang w:eastAsia="zh-CN"/>
        </w:rPr>
        <w:t>一</w:t>
      </w:r>
      <w:r>
        <w:rPr>
          <w:rFonts w:hint="eastAsia" w:ascii="仿宋" w:hAnsi="仿宋" w:eastAsia="仿宋" w:cs="宋体"/>
          <w:b/>
          <w:bCs/>
          <w:kern w:val="1"/>
          <w:sz w:val="44"/>
          <w:szCs w:val="44"/>
          <w:highlight w:val="none"/>
          <w:u w:val="single"/>
        </w:rPr>
        <w:t>事业部</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合肥铜箔</w:t>
      </w:r>
      <w:r>
        <w:rPr>
          <w:rFonts w:hint="eastAsia" w:ascii="仿宋" w:hAnsi="仿宋" w:eastAsia="仿宋" w:cs="宋体"/>
          <w:b/>
          <w:bCs/>
          <w:kern w:val="1"/>
          <w:sz w:val="44"/>
          <w:szCs w:val="44"/>
          <w:highlight w:val="none"/>
          <w:u w:val="single"/>
        </w:rPr>
        <w:t>项目</w:t>
      </w:r>
      <w:r>
        <w:rPr>
          <w:rFonts w:hint="eastAsia" w:ascii="仿宋" w:hAnsi="仿宋" w:eastAsia="仿宋" w:cs="宋体"/>
          <w:b/>
          <w:bCs/>
          <w:kern w:val="1"/>
          <w:sz w:val="44"/>
          <w:szCs w:val="44"/>
          <w:highlight w:val="none"/>
          <w:u w:val="single"/>
          <w:lang w:eastAsia="zh-CN"/>
        </w:rPr>
        <w:t>玻璃门、木门、防火门</w:t>
      </w:r>
      <w:r>
        <w:rPr>
          <w:rFonts w:hint="eastAsia" w:ascii="仿宋" w:hAnsi="仿宋" w:eastAsia="仿宋" w:cs="宋体"/>
          <w:b/>
          <w:bCs/>
          <w:kern w:val="1"/>
          <w:sz w:val="44"/>
          <w:szCs w:val="44"/>
          <w:highlight w:val="none"/>
          <w:u w:val="single"/>
        </w:rPr>
        <w:t>等材料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eastAsia" w:ascii="仿宋" w:hAnsi="仿宋" w:eastAsia="仿宋" w:cs="仿宋_GB2312"/>
          <w:b/>
          <w:bCs/>
          <w:sz w:val="32"/>
          <w:szCs w:val="32"/>
          <w:highlight w:val="none"/>
          <w:u w:val="single"/>
          <w:lang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w:t>
      </w:r>
      <w:bookmarkStart w:id="0" w:name="_GoBack"/>
      <w:bookmarkEnd w:id="0"/>
      <w:r>
        <w:rPr>
          <w:rFonts w:hint="eastAsia" w:ascii="仿宋" w:hAnsi="仿宋" w:eastAsia="仿宋" w:cs="仿宋_GB2312"/>
          <w:b/>
          <w:bCs/>
          <w:sz w:val="32"/>
          <w:szCs w:val="32"/>
          <w:highlight w:val="none"/>
          <w:u w:val="single"/>
        </w:rPr>
        <w:t>1</w:t>
      </w:r>
      <w:r>
        <w:rPr>
          <w:rFonts w:hint="eastAsia" w:ascii="仿宋" w:hAnsi="仿宋" w:eastAsia="仿宋" w:cs="仿宋_GB2312"/>
          <w:b/>
          <w:bCs/>
          <w:sz w:val="32"/>
          <w:szCs w:val="32"/>
          <w:highlight w:val="none"/>
          <w:u w:val="single"/>
          <w:lang w:val="en-US" w:eastAsia="zh-CN"/>
        </w:rPr>
        <w:t>7</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一、招标日程安排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本次招标的具体内容如下：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本次招标数量是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31</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壹万</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highlight w:val="none"/>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铜陵铜冠建安第</w:t>
      </w:r>
      <w:r>
        <w:rPr>
          <w:rFonts w:hint="eastAsia" w:ascii="仿宋" w:hAnsi="仿宋" w:eastAsia="仿宋" w:cs="仿宋_GB2312"/>
          <w:b/>
          <w:bCs/>
          <w:sz w:val="24"/>
          <w:highlight w:val="none"/>
          <w:u w:val="single"/>
          <w:lang w:eastAsia="zh-CN"/>
        </w:rPr>
        <w:t>一</w:t>
      </w:r>
      <w:r>
        <w:rPr>
          <w:rFonts w:hint="eastAsia" w:ascii="仿宋" w:hAnsi="仿宋" w:eastAsia="仿宋" w:cs="仿宋_GB2312"/>
          <w:b/>
          <w:bCs/>
          <w:sz w:val="24"/>
          <w:highlight w:val="none"/>
          <w:u w:val="single"/>
        </w:rPr>
        <w:t>事业部</w:t>
      </w:r>
      <w:r>
        <w:rPr>
          <w:rFonts w:hint="eastAsia" w:ascii="仿宋" w:hAnsi="仿宋" w:eastAsia="仿宋" w:cs="仿宋_GB2312"/>
          <w:b/>
          <w:bCs/>
          <w:sz w:val="24"/>
          <w:highlight w:val="none"/>
          <w:u w:val="single"/>
          <w:lang w:eastAsia="zh-CN"/>
        </w:rPr>
        <w:t>合肥铜箔</w:t>
      </w:r>
      <w:r>
        <w:rPr>
          <w:rFonts w:hint="eastAsia" w:ascii="仿宋" w:hAnsi="仿宋" w:eastAsia="仿宋" w:cs="仿宋_GB2312"/>
          <w:b/>
          <w:bCs/>
          <w:sz w:val="24"/>
          <w:highlight w:val="none"/>
          <w:u w:val="single"/>
        </w:rPr>
        <w:t>项目</w:t>
      </w:r>
      <w:r>
        <w:rPr>
          <w:rFonts w:hint="eastAsia" w:ascii="仿宋" w:hAnsi="仿宋" w:eastAsia="仿宋" w:cs="仿宋_GB2312"/>
          <w:b/>
          <w:bCs/>
          <w:sz w:val="24"/>
          <w:highlight w:val="none"/>
          <w:u w:val="single"/>
          <w:lang w:eastAsia="zh-CN"/>
        </w:rPr>
        <w:t>玻璃门、木门、防火门</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17</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ascii="仿宋" w:hAnsi="仿宋" w:eastAsia="仿宋" w:cs="仿宋"/>
          <w:sz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材料质量要求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highlight w:val="none"/>
        </w:rPr>
        <w:t>应符合国家最新质量标准和招标文件要求。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（2）投标人如若中标，提供的材料必须符合技术指标要求。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合肥铜箔</w:t>
      </w:r>
      <w:r>
        <w:rPr>
          <w:rFonts w:hint="eastAsia" w:ascii="仿宋" w:hAnsi="仿宋" w:eastAsia="仿宋" w:cs="仿宋_GB2312"/>
          <w:sz w:val="24"/>
          <w:highlight w:val="none"/>
        </w:rPr>
        <w:t>项目施工现场。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left="56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ascii="仿宋" w:hAnsi="仿宋" w:eastAsia="仿宋" w:cs="仿宋_GB2312"/>
          <w:spacing w:val="-17"/>
          <w:sz w:val="24"/>
          <w:highlight w:val="none"/>
        </w:rPr>
      </w:pPr>
      <w:r>
        <w:rPr>
          <w:rFonts w:hint="eastAsia" w:ascii="仿宋" w:hAnsi="仿宋" w:eastAsia="仿宋" w:cs="仿宋_GB2312"/>
          <w:sz w:val="24"/>
          <w:highlight w:val="none"/>
          <w:u w:val="single"/>
        </w:rPr>
        <w:t>各投标单位报价须谨慎，一旦中标不得以任何理由变更报价</w:t>
      </w:r>
      <w:r>
        <w:rPr>
          <w:rFonts w:hint="eastAsia" w:ascii="仿宋" w:hAnsi="仿宋" w:eastAsia="仿宋" w:cs="仿宋_GB2312"/>
          <w:spacing w:val="-17"/>
          <w:sz w:val="24"/>
          <w:highlight w:val="none"/>
          <w:u w:val="singl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8、付款方式</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color w:val="000000" w:themeColor="text1"/>
          <w:sz w:val="24"/>
          <w:highlight w:val="none"/>
          <w:u w:val="single"/>
        </w:rPr>
        <w:t>合同签订后，</w:t>
      </w:r>
      <w:r>
        <w:rPr>
          <w:rFonts w:hint="eastAsia" w:ascii="仿宋" w:hAnsi="仿宋" w:eastAsia="仿宋" w:cs="仿宋"/>
          <w:color w:val="000000" w:themeColor="text1"/>
          <w:sz w:val="24"/>
          <w:highlight w:val="none"/>
          <w:u w:val="single"/>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19"/>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报价单（TGJA-WZ-20241</w:t>
      </w:r>
      <w:r>
        <w:rPr>
          <w:rFonts w:hint="eastAsia" w:ascii="仿宋" w:hAnsi="仿宋" w:eastAsia="仿宋"/>
          <w:b/>
          <w:sz w:val="28"/>
          <w:szCs w:val="28"/>
          <w:highlight w:val="none"/>
          <w:lang w:val="en-US" w:eastAsia="zh-CN"/>
        </w:rPr>
        <w:t>7</w:t>
      </w:r>
      <w:r>
        <w:rPr>
          <w:rFonts w:hint="eastAsia" w:ascii="仿宋" w:hAnsi="仿宋" w:eastAsia="仿宋"/>
          <w:b/>
          <w:sz w:val="28"/>
          <w:szCs w:val="28"/>
          <w:highlight w:val="none"/>
        </w:rPr>
        <w:t>）：</w:t>
      </w:r>
    </w:p>
    <w:tbl>
      <w:tblPr>
        <w:tblStyle w:val="46"/>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737"/>
        <w:gridCol w:w="1625"/>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73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162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不锈钢边框弹簧玻璃门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4000*2700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4</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不锈钢边框弹簧玻璃门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1500*2400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3</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3</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不锈钢边框弹簧玻璃门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3000*2700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4</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不锈钢边框弹簧玻璃门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1800*2700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5</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不锈钢边框弹簧玻璃门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3600*2700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6</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木门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1500*2400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75</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7</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木门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1100*2400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28</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木门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1200*2100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9</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钢制防盗门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1100*2100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10</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甲级钢制平开防火门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1500*2100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11</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甲级钢制平开防火门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1100*2100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12</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甲级不锈钢防火卷帘</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2260*3600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13</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乙级钢制平开防火门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1500*2100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16</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14</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丙级钢制平开防火门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1500*2400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15</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丙级钢制平开防火门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900*2100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16</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丙级钢制平开防火门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1500*2100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4</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17</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丙级钢制平开防火门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2100*2400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18</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钢制防盗门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1800*2100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8</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19</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钢制防盗门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3900*3900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8</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20</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钢制防盗门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1100*2100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21</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木门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1100*2100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22</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木门</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1500*2100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4</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23</w:t>
            </w:r>
          </w:p>
        </w:tc>
        <w:tc>
          <w:tcPr>
            <w:tcW w:w="27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甲级钢制平开防火门</w:t>
            </w:r>
          </w:p>
        </w:tc>
        <w:tc>
          <w:tcPr>
            <w:tcW w:w="162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24</w:t>
            </w:r>
          </w:p>
        </w:tc>
        <w:tc>
          <w:tcPr>
            <w:tcW w:w="27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乙级钢制平开防火门</w:t>
            </w:r>
          </w:p>
        </w:tc>
        <w:tc>
          <w:tcPr>
            <w:tcW w:w="162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25</w:t>
            </w:r>
          </w:p>
        </w:tc>
        <w:tc>
          <w:tcPr>
            <w:tcW w:w="27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丙级钢制平开防火门</w:t>
            </w:r>
          </w:p>
        </w:tc>
        <w:tc>
          <w:tcPr>
            <w:tcW w:w="162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26</w:t>
            </w:r>
          </w:p>
        </w:tc>
        <w:tc>
          <w:tcPr>
            <w:tcW w:w="27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丙级钢制平开防火门</w:t>
            </w:r>
          </w:p>
        </w:tc>
        <w:tc>
          <w:tcPr>
            <w:tcW w:w="162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700*2100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27</w:t>
            </w:r>
          </w:p>
        </w:tc>
        <w:tc>
          <w:tcPr>
            <w:tcW w:w="27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不锈钢卷帘防火门</w:t>
            </w:r>
          </w:p>
        </w:tc>
        <w:tc>
          <w:tcPr>
            <w:tcW w:w="162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3000*3500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樘</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FF0000"/>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w:pict>
        <v:shape id="文本框 2051" o:spid="_x0000_s2049"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ACA153B"/>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77137F"/>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autoRedefine/>
    <w:qFormat/>
    <w:uiPriority w:val="0"/>
    <w:pPr>
      <w:keepNext/>
      <w:keepLines/>
      <w:spacing w:line="576" w:lineRule="auto"/>
      <w:outlineLvl w:val="0"/>
    </w:pPr>
    <w:rPr>
      <w:b/>
      <w:bCs/>
      <w:kern w:val="44"/>
      <w:sz w:val="44"/>
      <w:szCs w:val="44"/>
    </w:rPr>
  </w:style>
  <w:style w:type="paragraph" w:styleId="3">
    <w:name w:val="heading 2"/>
    <w:basedOn w:val="1"/>
    <w:next w:val="1"/>
    <w:link w:val="146"/>
    <w:autoRedefine/>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autoRedefine/>
    <w:qFormat/>
    <w:uiPriority w:val="0"/>
    <w:pPr>
      <w:keepNext/>
      <w:keepLines/>
      <w:spacing w:line="415" w:lineRule="auto"/>
      <w:outlineLvl w:val="2"/>
    </w:pPr>
    <w:rPr>
      <w:b/>
      <w:bCs/>
      <w:sz w:val="32"/>
      <w:szCs w:val="32"/>
    </w:rPr>
  </w:style>
  <w:style w:type="paragraph" w:styleId="5">
    <w:name w:val="heading 4"/>
    <w:basedOn w:val="1"/>
    <w:next w:val="1"/>
    <w:link w:val="138"/>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Normal Indent"/>
    <w:basedOn w:val="1"/>
    <w:link w:val="128"/>
    <w:autoRedefine/>
    <w:qFormat/>
    <w:uiPriority w:val="0"/>
    <w:pPr>
      <w:ind w:firstLine="420" w:firstLineChars="200"/>
    </w:pPr>
  </w:style>
  <w:style w:type="paragraph" w:styleId="13">
    <w:name w:val="caption"/>
    <w:basedOn w:val="1"/>
    <w:next w:val="1"/>
    <w:autoRedefine/>
    <w:qFormat/>
    <w:uiPriority w:val="0"/>
    <w:rPr>
      <w:rFonts w:ascii="Cambria" w:hAnsi="Cambria" w:eastAsia="黑体"/>
      <w:sz w:val="20"/>
      <w:szCs w:val="20"/>
    </w:rPr>
  </w:style>
  <w:style w:type="paragraph" w:styleId="14">
    <w:name w:val="List Bullet"/>
    <w:basedOn w:val="1"/>
    <w:autoRedefine/>
    <w:qFormat/>
    <w:uiPriority w:val="0"/>
    <w:pPr>
      <w:tabs>
        <w:tab w:val="left" w:pos="845"/>
      </w:tabs>
      <w:spacing w:before="120" w:after="120" w:line="360" w:lineRule="auto"/>
      <w:ind w:left="845" w:hanging="425"/>
    </w:pPr>
    <w:rPr>
      <w:szCs w:val="20"/>
    </w:rPr>
  </w:style>
  <w:style w:type="paragraph" w:styleId="15">
    <w:name w:val="Document Map"/>
    <w:basedOn w:val="1"/>
    <w:link w:val="118"/>
    <w:autoRedefine/>
    <w:qFormat/>
    <w:uiPriority w:val="0"/>
    <w:pPr>
      <w:shd w:val="clear" w:color="auto" w:fill="000080"/>
    </w:pPr>
  </w:style>
  <w:style w:type="paragraph" w:styleId="16">
    <w:name w:val="annotation text"/>
    <w:basedOn w:val="1"/>
    <w:link w:val="112"/>
    <w:autoRedefine/>
    <w:qFormat/>
    <w:uiPriority w:val="0"/>
    <w:pPr>
      <w:jc w:val="left"/>
    </w:pPr>
  </w:style>
  <w:style w:type="paragraph" w:styleId="17">
    <w:name w:val="Body Text 3"/>
    <w:basedOn w:val="1"/>
    <w:autoRedefine/>
    <w:qFormat/>
    <w:uiPriority w:val="0"/>
    <w:rPr>
      <w:rFonts w:ascii="宋体"/>
      <w:sz w:val="24"/>
      <w:szCs w:val="20"/>
    </w:rPr>
  </w:style>
  <w:style w:type="paragraph" w:styleId="18">
    <w:name w:val="Body Text"/>
    <w:basedOn w:val="19"/>
    <w:next w:val="19"/>
    <w:link w:val="124"/>
    <w:autoRedefine/>
    <w:qFormat/>
    <w:uiPriority w:val="0"/>
    <w:rPr>
      <w:rFonts w:ascii="Times New Roman" w:cs="Times New Roman"/>
      <w:color w:val="auto"/>
      <w:kern w:val="2"/>
      <w:sz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autoRedefine/>
    <w:qFormat/>
    <w:uiPriority w:val="0"/>
    <w:pPr>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131"/>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132"/>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137"/>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6"/>
    <w:next w:val="16"/>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22"/>
    <w:rPr>
      <w:b/>
      <w:bCs/>
    </w:rPr>
  </w:style>
  <w:style w:type="character" w:styleId="50">
    <w:name w:val="page number"/>
    <w:qFormat/>
    <w:uiPriority w:val="0"/>
  </w:style>
  <w:style w:type="character" w:styleId="51">
    <w:name w:val="FollowedHyperlink"/>
    <w:autoRedefine/>
    <w:qFormat/>
    <w:uiPriority w:val="0"/>
    <w:rPr>
      <w:color w:val="000000"/>
      <w:u w:val="none"/>
    </w:rPr>
  </w:style>
  <w:style w:type="character" w:styleId="52">
    <w:name w:val="Emphasis"/>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paragraph" w:customStyle="1" w:styleId="56">
    <w:name w:val="样式3"/>
    <w:basedOn w:val="4"/>
    <w:autoRedefine/>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2"/>
    <w:link w:val="135"/>
    <w:autoRedefine/>
    <w:qFormat/>
    <w:uiPriority w:val="0"/>
    <w:pPr>
      <w:spacing w:line="413" w:lineRule="auto"/>
    </w:pPr>
    <w:rPr>
      <w:rFonts w:eastAsia="宋体"/>
      <w:kern w:val="0"/>
      <w:sz w:val="24"/>
    </w:rPr>
  </w:style>
  <w:style w:type="paragraph" w:customStyle="1" w:styleId="59">
    <w:name w:val="正文1"/>
    <w:autoRedefine/>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0"/>
    <w:autoRedefine/>
    <w:qFormat/>
    <w:uiPriority w:val="0"/>
    <w:pPr>
      <w:adjustRightInd w:val="0"/>
      <w:spacing w:line="300" w:lineRule="auto"/>
      <w:ind w:left="0" w:leftChars="0" w:firstLine="454"/>
      <w:textAlignment w:val="baseline"/>
    </w:pPr>
    <w:rPr>
      <w:szCs w:val="20"/>
    </w:rPr>
  </w:style>
  <w:style w:type="paragraph" w:customStyle="1" w:styleId="6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5"/>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autoRedefine/>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autoRedefine/>
    <w:qFormat/>
    <w:uiPriority w:val="0"/>
    <w:rPr>
      <w:i/>
      <w:iCs/>
      <w:color w:val="000000"/>
      <w:szCs w:val="22"/>
    </w:rPr>
  </w:style>
  <w:style w:type="paragraph" w:customStyle="1" w:styleId="69">
    <w:name w:val="A2"/>
    <w:basedOn w:val="25"/>
    <w:autoRedefine/>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autoRedefine/>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autoRedefine/>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autoRedefine/>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autoRedefine/>
    <w:qFormat/>
    <w:uiPriority w:val="0"/>
    <w:pPr>
      <w:ind w:firstLine="420" w:firstLineChars="200"/>
    </w:pPr>
    <w:rPr>
      <w:rFonts w:ascii="Calibri" w:hAnsi="Calibri"/>
      <w:szCs w:val="22"/>
    </w:rPr>
  </w:style>
  <w:style w:type="paragraph" w:customStyle="1" w:styleId="81">
    <w:name w:val="样式1"/>
    <w:basedOn w:val="4"/>
    <w:autoRedefine/>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autoRedefine/>
    <w:qFormat/>
    <w:uiPriority w:val="0"/>
  </w:style>
  <w:style w:type="paragraph" w:customStyle="1" w:styleId="87">
    <w:name w:val="A3"/>
    <w:basedOn w:val="64"/>
    <w:autoRedefine/>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autoRedefine/>
    <w:qFormat/>
    <w:uiPriority w:val="0"/>
  </w:style>
  <w:style w:type="paragraph" w:customStyle="1" w:styleId="92">
    <w:name w:val="浅色底纹 - 强调文字颜色 21"/>
    <w:basedOn w:val="1"/>
    <w:next w:val="1"/>
    <w:link w:val="122"/>
    <w:autoRedefine/>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autoRedefine/>
    <w:qFormat/>
    <w:uiPriority w:val="0"/>
    <w:pPr>
      <w:outlineLvl w:val="9"/>
    </w:pPr>
    <w:rPr>
      <w:rFonts w:ascii="Calibri" w:hAnsi="Calibri"/>
    </w:rPr>
  </w:style>
  <w:style w:type="paragraph" w:customStyle="1" w:styleId="95">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6"/>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5"/>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8"/>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2"/>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5"/>
    <w:qFormat/>
    <w:uiPriority w:val="0"/>
    <w:rPr>
      <w:rFonts w:ascii="Courier New" w:hAnsi="Courier New" w:eastAsia="宋体"/>
      <w:kern w:val="2"/>
      <w:sz w:val="21"/>
      <w:lang w:val="en-US" w:eastAsia="zh-CN" w:bidi="ar-SA"/>
    </w:rPr>
  </w:style>
  <w:style w:type="character" w:customStyle="1" w:styleId="132">
    <w:name w:val="页眉 Char"/>
    <w:link w:val="31"/>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4"/>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2024-01-29T01:39:53Z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