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path/>
            <v:fill on="f" focussize="0,0"/>
            <v:stroke on="f" joinstyle="miter"/>
            <v:imagedata o:title=""/>
            <o:lock v:ext="edit"/>
            <v:textbox inset="0mm,0mm,0mm,0mm" style="mso-fit-shape-to-text:t;">
              <w:txbxContent>
                <w:p/>
              </w:txbxContent>
            </v:textbox>
          </v:shape>
        </w:pic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rPr>
        <w:t>铜陵铜冠建安第二事业部</w:t>
      </w: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lang w:eastAsia="zh-CN"/>
        </w:rPr>
        <w:t>书香苑</w:t>
      </w:r>
      <w:r>
        <w:rPr>
          <w:rFonts w:hint="eastAsia" w:ascii="仿宋" w:hAnsi="仿宋" w:eastAsia="仿宋" w:cs="宋体"/>
          <w:b/>
          <w:bCs/>
          <w:kern w:val="1"/>
          <w:sz w:val="44"/>
          <w:szCs w:val="44"/>
          <w:highlight w:val="none"/>
          <w:u w:val="single"/>
        </w:rPr>
        <w:t>项目</w:t>
      </w:r>
      <w:r>
        <w:rPr>
          <w:rFonts w:hint="eastAsia" w:ascii="仿宋" w:hAnsi="仿宋" w:eastAsia="仿宋" w:cs="宋体"/>
          <w:b/>
          <w:bCs/>
          <w:kern w:val="1"/>
          <w:sz w:val="44"/>
          <w:szCs w:val="44"/>
          <w:highlight w:val="none"/>
          <w:u w:val="single"/>
          <w:lang w:eastAsia="zh-CN"/>
        </w:rPr>
        <w:t>采光井、百叶窗</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47</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一、招标日程安排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本次招标的具体内容如下：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本次招标数量是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2、投标人须为一般纳税人,开具13%增值税专用发票。</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10</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叁</w:t>
      </w:r>
      <w:r>
        <w:rPr>
          <w:rFonts w:hint="eastAsia" w:ascii="仿宋" w:hAnsi="仿宋" w:eastAsia="仿宋" w:cs="仿宋_GB2312"/>
          <w:b/>
          <w:color w:val="000000"/>
          <w:sz w:val="24"/>
          <w:highlight w:val="none"/>
          <w:u w:val="single"/>
        </w:rPr>
        <w:t>仟</w:t>
      </w:r>
      <w:r>
        <w:rPr>
          <w:rFonts w:hint="eastAsia" w:ascii="仿宋" w:hAnsi="仿宋" w:eastAsia="仿宋" w:cs="仿宋_GB2312"/>
          <w:b/>
          <w:bCs/>
          <w:color w:val="000000"/>
          <w:sz w:val="24"/>
          <w:highlight w:val="none"/>
          <w:u w:val="single"/>
        </w:rPr>
        <w:t>元整</w:t>
      </w:r>
      <w:r>
        <w:rPr>
          <w:rFonts w:hint="eastAsia" w:ascii="仿宋" w:hAnsi="仿宋" w:eastAsia="仿宋" w:cs="仿宋_GB2312"/>
          <w:color w:val="000000"/>
          <w:sz w:val="24"/>
          <w:highlight w:val="none"/>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铜陵铜冠建安第二事业部</w:t>
      </w:r>
      <w:r>
        <w:rPr>
          <w:rFonts w:hint="eastAsia" w:ascii="仿宋" w:hAnsi="仿宋" w:eastAsia="仿宋" w:cs="仿宋_GB2312"/>
          <w:b/>
          <w:bCs/>
          <w:sz w:val="24"/>
          <w:highlight w:val="none"/>
          <w:u w:val="single"/>
          <w:lang w:eastAsia="zh-CN"/>
        </w:rPr>
        <w:t>书香苑</w:t>
      </w:r>
      <w:r>
        <w:rPr>
          <w:rFonts w:hint="eastAsia" w:ascii="仿宋" w:hAnsi="仿宋" w:eastAsia="仿宋" w:cs="仿宋_GB2312"/>
          <w:b/>
          <w:bCs/>
          <w:sz w:val="24"/>
          <w:highlight w:val="none"/>
          <w:u w:val="single"/>
        </w:rPr>
        <w:t>项目</w:t>
      </w:r>
      <w:r>
        <w:rPr>
          <w:rFonts w:hint="eastAsia" w:ascii="仿宋" w:hAnsi="仿宋" w:eastAsia="仿宋" w:cs="仿宋_GB2312"/>
          <w:b/>
          <w:bCs/>
          <w:sz w:val="24"/>
          <w:highlight w:val="none"/>
          <w:u w:val="single"/>
          <w:lang w:eastAsia="zh-CN"/>
        </w:rPr>
        <w:t>采光井、百叶窗</w:t>
      </w:r>
      <w:r>
        <w:rPr>
          <w:rFonts w:hint="eastAsia" w:ascii="仿宋" w:hAnsi="仿宋" w:eastAsia="仿宋" w:cs="仿宋_GB2312"/>
          <w:b/>
          <w:bCs/>
          <w:sz w:val="24"/>
          <w:highlight w:val="none"/>
          <w:u w:val="single"/>
        </w:rPr>
        <w:t>TGJA-WZ-2024</w:t>
      </w:r>
      <w:r>
        <w:rPr>
          <w:rFonts w:hint="eastAsia" w:ascii="仿宋" w:hAnsi="仿宋" w:eastAsia="仿宋" w:cs="仿宋_GB2312"/>
          <w:b/>
          <w:bCs/>
          <w:sz w:val="24"/>
          <w:highlight w:val="none"/>
          <w:u w:val="single"/>
          <w:lang w:val="en-US" w:eastAsia="zh-CN"/>
        </w:rPr>
        <w:t>47</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ascii="仿宋" w:hAnsi="仿宋" w:eastAsia="仿宋" w:cs="仿宋"/>
          <w:sz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材料质量要求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highlight w:val="none"/>
        </w:rPr>
        <w:t>应符合国家最新质量标准和招标文件要求。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（2）投标人如若中标，提供的材料必须符合技术指标要求。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第二事业部书香苑</w:t>
      </w:r>
      <w:r>
        <w:rPr>
          <w:rFonts w:hint="eastAsia" w:ascii="仿宋" w:hAnsi="仿宋" w:eastAsia="仿宋" w:cs="仿宋_GB2312"/>
          <w:sz w:val="24"/>
          <w:highlight w:val="none"/>
        </w:rPr>
        <w:t>项目施工现场。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（1）本次招标价为含税含运费一票制价格。</w:t>
      </w:r>
    </w:p>
    <w:p>
      <w:pPr>
        <w:spacing w:line="360" w:lineRule="auto"/>
        <w:ind w:left="560"/>
        <w:rPr>
          <w:rFonts w:ascii="仿宋" w:hAnsi="仿宋" w:eastAsia="仿宋" w:cs="仿宋_GB2312"/>
          <w:sz w:val="24"/>
          <w:highlight w:val="none"/>
        </w:rPr>
      </w:pPr>
      <w:r>
        <w:rPr>
          <w:rFonts w:hint="eastAsia" w:ascii="仿宋" w:hAnsi="仿宋" w:eastAsia="仿宋" w:cs="仿宋_GB2312"/>
          <w:sz w:val="24"/>
          <w:highlight w:val="none"/>
        </w:rPr>
        <w:t>（2）一经中标，合同期内价格不予调整。</w:t>
      </w:r>
    </w:p>
    <w:p>
      <w:pPr>
        <w:spacing w:line="360" w:lineRule="auto"/>
        <w:ind w:left="56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ascii="仿宋" w:hAnsi="仿宋" w:eastAsia="仿宋" w:cs="仿宋_GB2312"/>
          <w:spacing w:val="-17"/>
          <w:sz w:val="24"/>
          <w:highlight w:val="none"/>
        </w:rPr>
      </w:pPr>
      <w:r>
        <w:rPr>
          <w:rFonts w:hint="eastAsia" w:ascii="仿宋" w:hAnsi="仿宋" w:eastAsia="仿宋" w:cs="仿宋_GB2312"/>
          <w:sz w:val="24"/>
          <w:highlight w:val="none"/>
          <w:u w:val="single"/>
        </w:rPr>
        <w:t>各投标单位报价须谨慎，一旦中标不得以任何理由变更报价</w:t>
      </w:r>
      <w:r>
        <w:rPr>
          <w:rFonts w:hint="eastAsia" w:ascii="仿宋" w:hAnsi="仿宋" w:eastAsia="仿宋" w:cs="仿宋_GB2312"/>
          <w:spacing w:val="-17"/>
          <w:sz w:val="24"/>
          <w:highlight w:val="none"/>
          <w:u w:val="singl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8、付款方式</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color w:val="000000" w:themeColor="text1"/>
          <w:sz w:val="24"/>
          <w:highlight w:val="none"/>
          <w:u w:val="single"/>
        </w:rPr>
        <w:t>合同签订后，</w:t>
      </w:r>
      <w:r>
        <w:rPr>
          <w:rFonts w:hint="eastAsia" w:ascii="仿宋" w:hAnsi="仿宋" w:eastAsia="仿宋" w:cs="仿宋"/>
          <w:color w:val="000000" w:themeColor="text1"/>
          <w:sz w:val="24"/>
          <w:highlight w:val="none"/>
          <w:u w:val="single"/>
        </w:rPr>
        <w:t>货到验收合格后开具发票，入账次月支付40%，春节前支付至80%，剩余20%该春节后两年内付清。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本次评标以价格为评标依据，采取“最低价中标法”评标。即以经评委会审核，剔除偏离市场行情较大的恶意报价后的报价进行排序。</w:t>
      </w:r>
      <w:r>
        <w:rPr>
          <w:rFonts w:hint="eastAsia" w:ascii="仿宋" w:hAnsi="仿宋" w:eastAsia="仿宋" w:cs="仿宋_GB2312"/>
          <w:sz w:val="24"/>
          <w:highlight w:val="none"/>
        </w:rPr>
        <w:t>本次招标设置控制价，具体见第八章第4条。</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47</w:t>
      </w:r>
      <w:r>
        <w:rPr>
          <w:rFonts w:hint="eastAsia" w:ascii="仿宋" w:hAnsi="仿宋" w:eastAsia="仿宋"/>
          <w:b/>
          <w:sz w:val="28"/>
          <w:szCs w:val="28"/>
          <w:highlight w:val="none"/>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587"/>
        <w:gridCol w:w="1594"/>
        <w:gridCol w:w="1019"/>
        <w:gridCol w:w="812"/>
        <w:gridCol w:w="1252"/>
        <w:gridCol w:w="1293"/>
        <w:gridCol w:w="1418"/>
        <w:gridCol w:w="812"/>
        <w:gridCol w:w="1325"/>
        <w:gridCol w:w="193"/>
        <w:gridCol w:w="3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87"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物料名称</w:t>
            </w:r>
          </w:p>
        </w:tc>
        <w:tc>
          <w:tcPr>
            <w:tcW w:w="1594"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型号规格</w:t>
            </w:r>
          </w:p>
        </w:tc>
        <w:tc>
          <w:tcPr>
            <w:tcW w:w="1019"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2064"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tc>
        <w:tc>
          <w:tcPr>
            <w:tcW w:w="129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含税含运费单价</w:t>
            </w:r>
            <w:r>
              <w:rPr>
                <w:rFonts w:hint="eastAsia" w:ascii="仿宋" w:hAnsi="仿宋" w:eastAsia="仿宋" w:cs="仿宋"/>
                <w:color w:val="FF0000"/>
                <w:sz w:val="24"/>
                <w:szCs w:val="24"/>
                <w:highlight w:val="none"/>
              </w:rPr>
              <w:t>*</w:t>
            </w:r>
          </w:p>
        </w:tc>
        <w:tc>
          <w:tcPr>
            <w:tcW w:w="1418"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含税含运费</w:t>
            </w:r>
          </w:p>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金额</w:t>
            </w:r>
            <w:r>
              <w:rPr>
                <w:rFonts w:hint="eastAsia" w:ascii="仿宋" w:hAnsi="仿宋" w:eastAsia="仿宋" w:cs="仿宋"/>
                <w:color w:val="FF0000"/>
                <w:sz w:val="24"/>
                <w:szCs w:val="24"/>
                <w:highlight w:val="none"/>
              </w:rPr>
              <w:t>*</w:t>
            </w:r>
          </w:p>
        </w:tc>
        <w:tc>
          <w:tcPr>
            <w:tcW w:w="812"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税率</w:t>
            </w:r>
            <w:r>
              <w:rPr>
                <w:rFonts w:hint="eastAsia" w:ascii="仿宋" w:hAnsi="仿宋" w:eastAsia="仿宋" w:cs="仿宋"/>
                <w:color w:val="FF0000"/>
                <w:sz w:val="24"/>
                <w:szCs w:val="24"/>
                <w:highlight w:val="none"/>
              </w:rPr>
              <w:t>*</w:t>
            </w:r>
          </w:p>
        </w:tc>
        <w:tc>
          <w:tcPr>
            <w:tcW w:w="1325"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是否为增值税专用发票</w:t>
            </w:r>
            <w:r>
              <w:rPr>
                <w:rFonts w:hint="eastAsia" w:ascii="仿宋" w:hAnsi="仿宋" w:eastAsia="仿宋" w:cs="仿宋"/>
                <w:color w:val="FF0000"/>
                <w:sz w:val="24"/>
                <w:szCs w:val="24"/>
                <w:highlight w:val="none"/>
              </w:rPr>
              <w:t>*</w:t>
            </w:r>
          </w:p>
        </w:tc>
        <w:tc>
          <w:tcPr>
            <w:tcW w:w="3808"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百叶窗</w:t>
            </w:r>
          </w:p>
        </w:tc>
        <w:tc>
          <w:tcPr>
            <w:tcW w:w="1594"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2.48*1m</w:t>
            </w:r>
          </w:p>
        </w:tc>
        <w:tc>
          <w:tcPr>
            <w:tcW w:w="1019"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平方米</w:t>
            </w:r>
          </w:p>
        </w:tc>
        <w:tc>
          <w:tcPr>
            <w:tcW w:w="2064" w:type="dxa"/>
            <w:gridSpan w:val="2"/>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lang w:val="en-US"/>
              </w:rPr>
            </w:pPr>
            <w:r>
              <w:rPr>
                <w:rFonts w:hint="eastAsia" w:ascii="仿宋" w:hAnsi="仿宋" w:eastAsia="仿宋" w:cs="仿宋"/>
                <w:i w:val="0"/>
                <w:color w:val="000000"/>
                <w:kern w:val="0"/>
                <w:sz w:val="24"/>
                <w:szCs w:val="24"/>
                <w:u w:val="none"/>
                <w:lang w:val="en-US" w:eastAsia="zh-CN" w:bidi="ar"/>
              </w:rPr>
              <w:t>320</w:t>
            </w:r>
          </w:p>
        </w:tc>
        <w:tc>
          <w:tcPr>
            <w:tcW w:w="1293" w:type="dxa"/>
            <w:vAlign w:val="center"/>
          </w:tcPr>
          <w:p>
            <w:pPr>
              <w:spacing w:line="400" w:lineRule="exact"/>
              <w:jc w:val="center"/>
              <w:rPr>
                <w:rFonts w:hint="eastAsia" w:ascii="仿宋" w:hAnsi="仿宋" w:eastAsia="仿宋" w:cs="仿宋"/>
                <w:sz w:val="24"/>
                <w:szCs w:val="24"/>
                <w:highlight w:val="none"/>
              </w:rPr>
            </w:pPr>
          </w:p>
        </w:tc>
        <w:tc>
          <w:tcPr>
            <w:tcW w:w="1418" w:type="dxa"/>
            <w:vAlign w:val="center"/>
          </w:tcPr>
          <w:p>
            <w:pPr>
              <w:spacing w:line="400" w:lineRule="exact"/>
              <w:jc w:val="center"/>
              <w:rPr>
                <w:rFonts w:hint="eastAsia" w:ascii="仿宋" w:hAnsi="仿宋" w:eastAsia="仿宋" w:cs="仿宋"/>
                <w:sz w:val="24"/>
                <w:szCs w:val="24"/>
                <w:highlight w:val="none"/>
              </w:rPr>
            </w:pPr>
          </w:p>
        </w:tc>
        <w:tc>
          <w:tcPr>
            <w:tcW w:w="812" w:type="dxa"/>
            <w:vAlign w:val="center"/>
          </w:tcPr>
          <w:p>
            <w:pPr>
              <w:spacing w:line="400" w:lineRule="exact"/>
              <w:jc w:val="center"/>
              <w:rPr>
                <w:rFonts w:hint="eastAsia" w:ascii="仿宋" w:hAnsi="仿宋" w:eastAsia="仿宋" w:cs="仿宋"/>
                <w:sz w:val="24"/>
                <w:szCs w:val="24"/>
                <w:highlight w:val="none"/>
              </w:rPr>
            </w:pPr>
          </w:p>
        </w:tc>
        <w:tc>
          <w:tcPr>
            <w:tcW w:w="1325" w:type="dxa"/>
            <w:vAlign w:val="center"/>
          </w:tcPr>
          <w:p>
            <w:pPr>
              <w:spacing w:line="400" w:lineRule="exact"/>
              <w:jc w:val="center"/>
              <w:rPr>
                <w:rFonts w:hint="eastAsia" w:ascii="仿宋" w:hAnsi="仿宋" w:eastAsia="仿宋" w:cs="仿宋"/>
                <w:sz w:val="24"/>
                <w:szCs w:val="24"/>
                <w:highlight w:val="none"/>
              </w:rPr>
            </w:pPr>
          </w:p>
        </w:tc>
        <w:tc>
          <w:tcPr>
            <w:tcW w:w="3808" w:type="dxa"/>
            <w:gridSpan w:val="2"/>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rPr>
              <w:t>颜色：咖啡色；2、百叶之间的间距为100mm，叶片厚度不小于3mm，边框厚度不小于4.5mm，净流通面积大于75%；3、型材表面进行氧化膜处理，厚度不小于20um；4、叶片倾斜45度，并具有防雨截水功能，内衬防鼠防虫防坠落保护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采光井四</w:t>
            </w:r>
          </w:p>
        </w:tc>
        <w:tc>
          <w:tcPr>
            <w:tcW w:w="1594"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4900*5650*1200mm</w:t>
            </w:r>
          </w:p>
        </w:tc>
        <w:tc>
          <w:tcPr>
            <w:tcW w:w="1019"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个</w:t>
            </w:r>
          </w:p>
        </w:tc>
        <w:tc>
          <w:tcPr>
            <w:tcW w:w="2064" w:type="dxa"/>
            <w:gridSpan w:val="2"/>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1293" w:type="dxa"/>
            <w:vAlign w:val="center"/>
          </w:tcPr>
          <w:p>
            <w:pPr>
              <w:spacing w:line="400" w:lineRule="exact"/>
              <w:jc w:val="center"/>
              <w:rPr>
                <w:rFonts w:hint="eastAsia" w:ascii="仿宋" w:hAnsi="仿宋" w:eastAsia="仿宋" w:cs="仿宋"/>
                <w:sz w:val="24"/>
                <w:szCs w:val="24"/>
                <w:highlight w:val="none"/>
              </w:rPr>
            </w:pPr>
          </w:p>
        </w:tc>
        <w:tc>
          <w:tcPr>
            <w:tcW w:w="1418" w:type="dxa"/>
            <w:vAlign w:val="center"/>
          </w:tcPr>
          <w:p>
            <w:pPr>
              <w:spacing w:line="400" w:lineRule="exact"/>
              <w:jc w:val="center"/>
              <w:rPr>
                <w:rFonts w:hint="eastAsia" w:ascii="仿宋" w:hAnsi="仿宋" w:eastAsia="仿宋" w:cs="仿宋"/>
                <w:sz w:val="24"/>
                <w:szCs w:val="24"/>
                <w:highlight w:val="none"/>
              </w:rPr>
            </w:pPr>
          </w:p>
        </w:tc>
        <w:tc>
          <w:tcPr>
            <w:tcW w:w="812" w:type="dxa"/>
            <w:vAlign w:val="center"/>
          </w:tcPr>
          <w:p>
            <w:pPr>
              <w:spacing w:line="400" w:lineRule="exact"/>
              <w:jc w:val="center"/>
              <w:rPr>
                <w:rFonts w:hint="eastAsia" w:ascii="仿宋" w:hAnsi="仿宋" w:eastAsia="仿宋" w:cs="仿宋"/>
                <w:sz w:val="24"/>
                <w:szCs w:val="24"/>
                <w:highlight w:val="none"/>
              </w:rPr>
            </w:pPr>
          </w:p>
        </w:tc>
        <w:tc>
          <w:tcPr>
            <w:tcW w:w="1325" w:type="dxa"/>
            <w:vAlign w:val="center"/>
          </w:tcPr>
          <w:p>
            <w:pPr>
              <w:spacing w:line="400" w:lineRule="exact"/>
              <w:jc w:val="center"/>
              <w:rPr>
                <w:rFonts w:hint="eastAsia" w:ascii="仿宋" w:hAnsi="仿宋" w:eastAsia="仿宋" w:cs="仿宋"/>
                <w:sz w:val="24"/>
                <w:szCs w:val="24"/>
                <w:highlight w:val="none"/>
              </w:rPr>
            </w:pPr>
          </w:p>
        </w:tc>
        <w:tc>
          <w:tcPr>
            <w:tcW w:w="3808" w:type="dxa"/>
            <w:gridSpan w:val="2"/>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rPr>
            </w:pPr>
            <w:r>
              <w:rPr>
                <w:rFonts w:hint="eastAsia" w:ascii="仿宋" w:hAnsi="仿宋" w:eastAsia="仿宋" w:cs="仿宋"/>
                <w:i w:val="0"/>
                <w:color w:val="000000"/>
                <w:kern w:val="0"/>
                <w:sz w:val="24"/>
                <w:szCs w:val="24"/>
                <w:u w:val="none"/>
                <w:lang w:val="en-US" w:eastAsia="zh-CN" w:bidi="ar"/>
              </w:rPr>
              <w:t>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采光井五</w:t>
            </w:r>
          </w:p>
        </w:tc>
        <w:tc>
          <w:tcPr>
            <w:tcW w:w="1594"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4850*7500*1200mm</w:t>
            </w:r>
          </w:p>
        </w:tc>
        <w:tc>
          <w:tcPr>
            <w:tcW w:w="1019"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个</w:t>
            </w:r>
          </w:p>
        </w:tc>
        <w:tc>
          <w:tcPr>
            <w:tcW w:w="2064" w:type="dxa"/>
            <w:gridSpan w:val="2"/>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6</w:t>
            </w:r>
          </w:p>
        </w:tc>
        <w:tc>
          <w:tcPr>
            <w:tcW w:w="1293" w:type="dxa"/>
            <w:vAlign w:val="center"/>
          </w:tcPr>
          <w:p>
            <w:pPr>
              <w:spacing w:line="400" w:lineRule="exact"/>
              <w:jc w:val="center"/>
              <w:rPr>
                <w:rFonts w:hint="eastAsia" w:ascii="仿宋" w:hAnsi="仿宋" w:eastAsia="仿宋" w:cs="仿宋"/>
                <w:sz w:val="24"/>
                <w:szCs w:val="24"/>
                <w:highlight w:val="none"/>
              </w:rPr>
            </w:pPr>
          </w:p>
        </w:tc>
        <w:tc>
          <w:tcPr>
            <w:tcW w:w="1418" w:type="dxa"/>
            <w:vAlign w:val="center"/>
          </w:tcPr>
          <w:p>
            <w:pPr>
              <w:spacing w:line="400" w:lineRule="exact"/>
              <w:jc w:val="center"/>
              <w:rPr>
                <w:rFonts w:hint="eastAsia" w:ascii="仿宋" w:hAnsi="仿宋" w:eastAsia="仿宋" w:cs="仿宋"/>
                <w:sz w:val="24"/>
                <w:szCs w:val="24"/>
                <w:highlight w:val="none"/>
              </w:rPr>
            </w:pPr>
          </w:p>
        </w:tc>
        <w:tc>
          <w:tcPr>
            <w:tcW w:w="812" w:type="dxa"/>
            <w:vAlign w:val="center"/>
          </w:tcPr>
          <w:p>
            <w:pPr>
              <w:spacing w:line="400" w:lineRule="exact"/>
              <w:jc w:val="center"/>
              <w:rPr>
                <w:rFonts w:hint="eastAsia" w:ascii="仿宋" w:hAnsi="仿宋" w:eastAsia="仿宋" w:cs="仿宋"/>
                <w:sz w:val="24"/>
                <w:szCs w:val="24"/>
                <w:highlight w:val="none"/>
              </w:rPr>
            </w:pPr>
          </w:p>
        </w:tc>
        <w:tc>
          <w:tcPr>
            <w:tcW w:w="1325" w:type="dxa"/>
            <w:vAlign w:val="center"/>
          </w:tcPr>
          <w:p>
            <w:pPr>
              <w:spacing w:line="400" w:lineRule="exact"/>
              <w:jc w:val="center"/>
              <w:rPr>
                <w:rFonts w:hint="eastAsia" w:ascii="仿宋" w:hAnsi="仿宋" w:eastAsia="仿宋" w:cs="仿宋"/>
                <w:sz w:val="24"/>
                <w:szCs w:val="24"/>
                <w:highlight w:val="none"/>
              </w:rPr>
            </w:pPr>
          </w:p>
        </w:tc>
        <w:tc>
          <w:tcPr>
            <w:tcW w:w="3808" w:type="dxa"/>
            <w:gridSpan w:val="2"/>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u w:val="none"/>
                <w:lang w:val="en-US" w:eastAsia="zh-CN" w:bidi="ar"/>
              </w:rPr>
              <w:t>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812" w:type="dxa"/>
            <w:vAlign w:val="center"/>
          </w:tcPr>
          <w:p>
            <w:pPr>
              <w:spacing w:line="400" w:lineRule="exact"/>
              <w:jc w:val="center"/>
              <w:rPr>
                <w:rFonts w:hint="eastAsia" w:ascii="仿宋" w:hAnsi="仿宋" w:eastAsia="仿宋" w:cs="仿宋"/>
                <w:sz w:val="24"/>
                <w:szCs w:val="24"/>
                <w:highlight w:val="none"/>
              </w:rPr>
            </w:pPr>
          </w:p>
        </w:tc>
        <w:tc>
          <w:tcPr>
            <w:tcW w:w="1325" w:type="dxa"/>
            <w:vAlign w:val="center"/>
          </w:tcPr>
          <w:p>
            <w:pPr>
              <w:spacing w:line="400" w:lineRule="exact"/>
              <w:jc w:val="center"/>
              <w:rPr>
                <w:rFonts w:hint="eastAsia" w:ascii="仿宋" w:hAnsi="仿宋" w:eastAsia="仿宋" w:cs="仿宋"/>
                <w:sz w:val="24"/>
                <w:szCs w:val="24"/>
                <w:highlight w:val="none"/>
              </w:rPr>
            </w:pPr>
          </w:p>
        </w:tc>
        <w:tc>
          <w:tcPr>
            <w:tcW w:w="3808" w:type="dxa"/>
            <w:gridSpan w:val="2"/>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trPr>
        <w:tc>
          <w:tcPr>
            <w:tcW w:w="15443" w:type="dxa"/>
            <w:gridSpan w:val="12"/>
            <w:vAlign w:val="center"/>
          </w:tcPr>
          <w:p>
            <w:pPr>
              <w:spacing w:line="400" w:lineRule="exact"/>
              <w:rPr>
                <w:rFonts w:ascii="仿宋" w:hAnsi="仿宋" w:eastAsia="仿宋"/>
                <w:sz w:val="24"/>
                <w:highlight w:val="none"/>
              </w:rPr>
            </w:pPr>
            <w:r>
              <w:rPr>
                <w:rFonts w:hint="eastAsia" w:ascii="仿宋" w:hAnsi="仿宋" w:eastAsia="仿宋"/>
                <w:sz w:val="24"/>
                <w:highlight w:val="none"/>
              </w:rPr>
              <w:t xml:space="preserve">说明：1、此报价表中带 </w:t>
            </w:r>
            <w:r>
              <w:rPr>
                <w:rFonts w:hint="eastAsia" w:ascii="仿宋" w:hAnsi="仿宋" w:eastAsia="仿宋"/>
                <w:color w:val="FF0000"/>
                <w:sz w:val="24"/>
                <w:highlight w:val="none"/>
              </w:rPr>
              <w:t>＊</w:t>
            </w:r>
            <w:r>
              <w:rPr>
                <w:rFonts w:hint="eastAsia" w:ascii="仿宋" w:hAnsi="仿宋" w:eastAsia="仿宋"/>
                <w:sz w:val="24"/>
                <w:highlight w:val="none"/>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highlight w:val="none"/>
              </w:rPr>
            </w:pPr>
            <w:r>
              <w:rPr>
                <w:rFonts w:hint="eastAsia" w:ascii="仿宋" w:hAnsi="仿宋" w:eastAsia="仿宋"/>
                <w:sz w:val="24"/>
                <w:highlight w:val="none"/>
              </w:rPr>
              <w:t>2、本次招标的数量为预估量，最终结算数量以双方确认的实际供货数量为准。</w:t>
            </w:r>
          </w:p>
          <w:p>
            <w:pPr>
              <w:spacing w:line="400" w:lineRule="exact"/>
              <w:ind w:firstLine="720" w:firstLineChars="300"/>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5"/>
            <w:vMerge w:val="restart"/>
            <w:vAlign w:val="center"/>
          </w:tcPr>
          <w:p>
            <w:pPr>
              <w:spacing w:line="400" w:lineRule="exact"/>
              <w:ind w:firstLine="240" w:firstLineChars="100"/>
              <w:rPr>
                <w:rFonts w:ascii="仿宋" w:hAnsi="仿宋" w:eastAsia="仿宋"/>
                <w:sz w:val="24"/>
                <w:highlight w:val="none"/>
              </w:rPr>
            </w:pPr>
            <w:r>
              <w:rPr>
                <w:rFonts w:hint="eastAsia" w:ascii="仿宋" w:hAnsi="仿宋" w:eastAsia="仿宋"/>
                <w:sz w:val="24"/>
                <w:highlight w:val="none"/>
              </w:rPr>
              <w:t>投标单位（公章）</w:t>
            </w:r>
          </w:p>
        </w:tc>
        <w:tc>
          <w:tcPr>
            <w:tcW w:w="3963" w:type="dxa"/>
            <w:gridSpan w:val="3"/>
            <w:vAlign w:val="center"/>
          </w:tcPr>
          <w:p>
            <w:pPr>
              <w:spacing w:line="400" w:lineRule="exact"/>
              <w:rPr>
                <w:rFonts w:ascii="仿宋" w:hAnsi="仿宋" w:eastAsia="仿宋"/>
                <w:sz w:val="24"/>
                <w:highlight w:val="none"/>
              </w:rPr>
            </w:pPr>
            <w:r>
              <w:rPr>
                <w:rFonts w:hint="eastAsia" w:ascii="仿宋" w:hAnsi="仿宋" w:eastAsia="仿宋"/>
                <w:sz w:val="24"/>
                <w:highlight w:val="none"/>
              </w:rPr>
              <w:t>法定代表人或授权委托人</w:t>
            </w:r>
          </w:p>
        </w:tc>
        <w:tc>
          <w:tcPr>
            <w:tcW w:w="5945" w:type="dxa"/>
            <w:gridSpan w:val="4"/>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5"/>
            <w:vMerge w:val="continue"/>
            <w:vAlign w:val="center"/>
          </w:tcPr>
          <w:p>
            <w:pPr>
              <w:spacing w:line="400" w:lineRule="exact"/>
              <w:rPr>
                <w:rFonts w:ascii="仿宋" w:hAnsi="仿宋" w:eastAsia="仿宋"/>
                <w:sz w:val="24"/>
                <w:highlight w:val="none"/>
              </w:rPr>
            </w:pPr>
          </w:p>
        </w:tc>
        <w:tc>
          <w:tcPr>
            <w:tcW w:w="3963" w:type="dxa"/>
            <w:gridSpan w:val="3"/>
            <w:vMerge w:val="restart"/>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联系方式</w:t>
            </w:r>
          </w:p>
        </w:tc>
        <w:tc>
          <w:tcPr>
            <w:tcW w:w="2330" w:type="dxa"/>
            <w:gridSpan w:val="3"/>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电话</w:t>
            </w:r>
          </w:p>
        </w:tc>
        <w:tc>
          <w:tcPr>
            <w:tcW w:w="3615" w:type="dxa"/>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5"/>
            <w:vMerge w:val="continue"/>
            <w:vAlign w:val="center"/>
          </w:tcPr>
          <w:p>
            <w:pPr>
              <w:spacing w:line="400" w:lineRule="exact"/>
              <w:rPr>
                <w:rFonts w:ascii="仿宋" w:hAnsi="仿宋" w:eastAsia="仿宋"/>
                <w:sz w:val="24"/>
                <w:highlight w:val="none"/>
              </w:rPr>
            </w:pPr>
          </w:p>
        </w:tc>
        <w:tc>
          <w:tcPr>
            <w:tcW w:w="3963" w:type="dxa"/>
            <w:gridSpan w:val="3"/>
            <w:vMerge w:val="continue"/>
            <w:vAlign w:val="center"/>
          </w:tcPr>
          <w:p>
            <w:pPr>
              <w:spacing w:line="400" w:lineRule="exact"/>
              <w:jc w:val="center"/>
              <w:rPr>
                <w:rFonts w:ascii="仿宋" w:hAnsi="仿宋" w:eastAsia="仿宋"/>
                <w:sz w:val="24"/>
                <w:highlight w:val="none"/>
              </w:rPr>
            </w:pPr>
          </w:p>
        </w:tc>
        <w:tc>
          <w:tcPr>
            <w:tcW w:w="2330" w:type="dxa"/>
            <w:gridSpan w:val="3"/>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邮箱</w:t>
            </w:r>
          </w:p>
        </w:tc>
        <w:tc>
          <w:tcPr>
            <w:tcW w:w="3615" w:type="dxa"/>
            <w:vAlign w:val="center"/>
          </w:tcPr>
          <w:p>
            <w:pPr>
              <w:spacing w:line="400" w:lineRule="exact"/>
              <w:rPr>
                <w:rFonts w:ascii="仿宋" w:hAnsi="仿宋" w:eastAsia="仿宋"/>
                <w:sz w:val="24"/>
                <w:highlight w:val="none"/>
              </w:rPr>
            </w:pPr>
          </w:p>
        </w:tc>
      </w:tr>
    </w:tbl>
    <w:p>
      <w:pPr>
        <w:spacing w:line="400" w:lineRule="exact"/>
        <w:rPr>
          <w:rFonts w:ascii="仿宋" w:hAnsi="仿宋" w:eastAsia="仿宋" w:cs="仿宋_GB2312"/>
          <w:b/>
          <w:sz w:val="36"/>
          <w:szCs w:val="36"/>
          <w:highlight w:val="none"/>
        </w:rPr>
      </w:pPr>
    </w:p>
    <w:p>
      <w:pPr>
        <w:spacing w:line="400" w:lineRule="exact"/>
        <w:rPr>
          <w:rFonts w:ascii="仿宋" w:hAnsi="仿宋" w:eastAsia="仿宋" w:cs="仿宋_GB2312"/>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bookmarkStart w:id="0" w:name="_GoBack"/>
      <w:bookmarkEnd w:id="0"/>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w:pict>
        <v:shape id="文本框 2051" o:spid="_x0000_s2049"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path/>
          <v:fill on="f" focussize="0,0"/>
          <v:stroke on="f" joinstyle="miter"/>
          <v:imagedata o:title=""/>
          <o:lock v:ext="edit"/>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pict>
        <v:shape id="_x0000_i1025"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pict>
        <v:shape id="_x0000_i1026"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4C3C1F"/>
    <w:rsid w:val="12A820AD"/>
    <w:rsid w:val="13377E0F"/>
    <w:rsid w:val="13945E07"/>
    <w:rsid w:val="15737884"/>
    <w:rsid w:val="15750C31"/>
    <w:rsid w:val="16B948A5"/>
    <w:rsid w:val="17D86D23"/>
    <w:rsid w:val="17F4775E"/>
    <w:rsid w:val="18AF15FD"/>
    <w:rsid w:val="19E94006"/>
    <w:rsid w:val="1BBF797C"/>
    <w:rsid w:val="1DB63303"/>
    <w:rsid w:val="1DE26149"/>
    <w:rsid w:val="1DEE2CCA"/>
    <w:rsid w:val="1EB92EF2"/>
    <w:rsid w:val="1F17125C"/>
    <w:rsid w:val="1FAB30E7"/>
    <w:rsid w:val="2037683E"/>
    <w:rsid w:val="20637B7A"/>
    <w:rsid w:val="21115412"/>
    <w:rsid w:val="21A61884"/>
    <w:rsid w:val="221B22F9"/>
    <w:rsid w:val="221D09FC"/>
    <w:rsid w:val="22F91AE6"/>
    <w:rsid w:val="25590EC9"/>
    <w:rsid w:val="257F4BF0"/>
    <w:rsid w:val="25917440"/>
    <w:rsid w:val="25A13254"/>
    <w:rsid w:val="262F357C"/>
    <w:rsid w:val="2659211B"/>
    <w:rsid w:val="266C56F3"/>
    <w:rsid w:val="26A26CEB"/>
    <w:rsid w:val="27235E7D"/>
    <w:rsid w:val="276F4E38"/>
    <w:rsid w:val="2834446C"/>
    <w:rsid w:val="28B84042"/>
    <w:rsid w:val="299D4A4C"/>
    <w:rsid w:val="2A1902C2"/>
    <w:rsid w:val="2C6224E4"/>
    <w:rsid w:val="2C995D0F"/>
    <w:rsid w:val="2D3E7816"/>
    <w:rsid w:val="2DC36D5F"/>
    <w:rsid w:val="2F3E6548"/>
    <w:rsid w:val="2FF670DA"/>
    <w:rsid w:val="30481183"/>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9CB4FB2"/>
    <w:rsid w:val="3A076D9E"/>
    <w:rsid w:val="3A3173ED"/>
    <w:rsid w:val="3B076549"/>
    <w:rsid w:val="3B82173E"/>
    <w:rsid w:val="3C5B75D3"/>
    <w:rsid w:val="3C7823C8"/>
    <w:rsid w:val="3CA42746"/>
    <w:rsid w:val="3DCC4487"/>
    <w:rsid w:val="3E474521"/>
    <w:rsid w:val="3E583AD2"/>
    <w:rsid w:val="3FD0292A"/>
    <w:rsid w:val="3FF77603"/>
    <w:rsid w:val="413C763F"/>
    <w:rsid w:val="41B14926"/>
    <w:rsid w:val="41B46B47"/>
    <w:rsid w:val="41DA5117"/>
    <w:rsid w:val="424B79E0"/>
    <w:rsid w:val="42FA2D1F"/>
    <w:rsid w:val="434963F7"/>
    <w:rsid w:val="436B2C00"/>
    <w:rsid w:val="439F612A"/>
    <w:rsid w:val="441344E9"/>
    <w:rsid w:val="44842956"/>
    <w:rsid w:val="44B922E9"/>
    <w:rsid w:val="45086E27"/>
    <w:rsid w:val="465E02D2"/>
    <w:rsid w:val="48FC1957"/>
    <w:rsid w:val="499D4ACB"/>
    <w:rsid w:val="4AED5A83"/>
    <w:rsid w:val="4BC1413C"/>
    <w:rsid w:val="4C656785"/>
    <w:rsid w:val="4DFA18E0"/>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921071"/>
    <w:rsid w:val="60F035C2"/>
    <w:rsid w:val="623446C7"/>
    <w:rsid w:val="633441F6"/>
    <w:rsid w:val="6352429E"/>
    <w:rsid w:val="63A94A71"/>
    <w:rsid w:val="63E45615"/>
    <w:rsid w:val="645A1DAF"/>
    <w:rsid w:val="64940258"/>
    <w:rsid w:val="64940A1E"/>
    <w:rsid w:val="69021DF3"/>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5A42A8"/>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1</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2024-04-08T07:18:23Z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