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池州铜箔项目矿渣</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池州铜箔项目矿渣</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池州铜箔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7</w:t>
      </w:r>
      <w:r>
        <w:rPr>
          <w:rFonts w:hint="eastAsia" w:ascii="仿宋" w:hAnsi="仿宋" w:eastAsia="仿宋"/>
          <w:b/>
          <w:sz w:val="28"/>
          <w:szCs w:val="28"/>
          <w:highlight w:val="none"/>
        </w:rPr>
        <w:t>）：</w:t>
      </w:r>
    </w:p>
    <w:tbl>
      <w:tblPr>
        <w:tblStyle w:val="54"/>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矿渣</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混渣</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3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批供应</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5"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19"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AA099E"/>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17T00:29:28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