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第二事业部全鑫项目镀锌钢管</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-93</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公司第二事业部全鑫项目镀锌钢管</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93</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第二事业部全鑫项目现场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93</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DN100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80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DN80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DN65</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44</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DN50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13.3</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DN40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DN32</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8.2</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镀锌钢管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color w:val="auto"/>
                <w:sz w:val="24"/>
                <w:szCs w:val="24"/>
                <w:highlight w:val="none"/>
                <w:lang w:val="en-US" w:eastAsia="zh-CN"/>
              </w:rPr>
              <w:t>吨</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12.2</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GB/T 3091-2008；品牌要求;天津友发、浙江金洲、浙江久立、江苏玉龙。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3D5A0D"/>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2E6332"/>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545705"/>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C4C5793"/>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8919DC"/>
    <w:rsid w:val="77A946B8"/>
    <w:rsid w:val="77B14F43"/>
    <w:rsid w:val="792A1CCE"/>
    <w:rsid w:val="793439F5"/>
    <w:rsid w:val="796E3D99"/>
    <w:rsid w:val="7B8D7C88"/>
    <w:rsid w:val="7BE31831"/>
    <w:rsid w:val="7C252C88"/>
    <w:rsid w:val="7C656282"/>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4314</Words>
  <Characters>4763</Characters>
  <Lines>33</Lines>
  <Paragraphs>9</Paragraphs>
  <TotalTime>1</TotalTime>
  <ScaleCrop>false</ScaleCrop>
  <LinksUpToDate>false</LinksUpToDate>
  <CharactersWithSpaces>4848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2024-06-24T06:59:34Z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