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33C376">
      <w:pPr>
        <w:spacing w:line="560" w:lineRule="exact"/>
        <w:jc w:val="center"/>
        <w:rPr>
          <w:rFonts w:ascii="楷体_GB2312" w:hAnsi="宋体" w:eastAsia="楷体_GB2312" w:cs="宋体"/>
          <w:kern w:val="1"/>
          <w:sz w:val="44"/>
          <w:szCs w:val="44"/>
          <w:highlight w:val="none"/>
        </w:rPr>
      </w:pPr>
      <w:r>
        <w:rPr>
          <w:rFonts w:ascii="楷体_GB2312" w:hAnsi="宋体" w:eastAsia="楷体_GB2312" w:cs="宋体"/>
          <w:kern w:val="1"/>
          <w:sz w:val="44"/>
          <w:szCs w:val="44"/>
          <w:highlight w:val="none"/>
        </w:rPr>
        <mc:AlternateContent>
          <mc:Choice Requires="wps">
            <w:drawing>
              <wp:anchor distT="0" distB="0" distL="114300" distR="114300" simplePos="0" relativeHeight="251660288" behindDoc="1" locked="0" layoutInCell="0" allowOverlap="1">
                <wp:simplePos x="0" y="0"/>
                <wp:positionH relativeFrom="page">
                  <wp:posOffset>0</wp:posOffset>
                </wp:positionH>
                <wp:positionV relativeFrom="page">
                  <wp:posOffset>0</wp:posOffset>
                </wp:positionV>
                <wp:extent cx="114935" cy="198120"/>
                <wp:effectExtent l="0" t="0" r="0" b="0"/>
                <wp:wrapNone/>
                <wp:docPr id="1"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a:effectLst/>
                      </wps:spPr>
                      <wps:txbx>
                        <w:txbxContent>
                          <w:p w14:paraId="4CCBCBEA"/>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6192;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h0EmN0AAAAAMBAAAPAAAAAAAAAAEAIAAAACIAAABkcnMv&#10;ZG93bnJldi54bWxQSwECFAAUAAAACACHTuJA8olxHdIBAACkAwAADgAAAAAAAAABACAAAAAfAQAA&#10;ZHJzL2Uyb0RvYy54bWxQSwUGAAAAAAYABgBZAQAAYwUAAAAA&#10;">
                <v:fill on="f" focussize="0,0"/>
                <v:stroke on="f"/>
                <v:imagedata o:title=""/>
                <o:lock v:ext="edit" aspectratio="f"/>
                <v:textbox inset="0mm,0mm,0mm,0mm" style="mso-fit-shape-to-text:t;">
                  <w:txbxContent>
                    <w:p w14:paraId="4CCBCBEA"/>
                  </w:txbxContent>
                </v:textbox>
              </v:shape>
            </w:pict>
          </mc:Fallback>
        </mc:AlternateContent>
      </w:r>
    </w:p>
    <w:p w14:paraId="4F7EF8BC">
      <w:pPr>
        <w:spacing w:line="560" w:lineRule="exact"/>
        <w:jc w:val="center"/>
        <w:rPr>
          <w:rFonts w:ascii="楷体_GB2312" w:hAnsi="宋体" w:eastAsia="楷体_GB2312" w:cs="宋体"/>
          <w:kern w:val="1"/>
          <w:sz w:val="44"/>
          <w:szCs w:val="44"/>
          <w:highlight w:val="none"/>
        </w:rPr>
      </w:pPr>
    </w:p>
    <w:p w14:paraId="45E4AD31">
      <w:pPr>
        <w:spacing w:line="560" w:lineRule="exact"/>
        <w:jc w:val="center"/>
        <w:rPr>
          <w:rFonts w:hint="eastAsia" w:ascii="仿宋" w:hAnsi="仿宋" w:eastAsia="仿宋" w:cs="宋体"/>
          <w:b/>
          <w:bCs/>
          <w:kern w:val="1"/>
          <w:sz w:val="44"/>
          <w:szCs w:val="44"/>
          <w:highlight w:val="none"/>
          <w:u w:val="single"/>
          <w:lang w:eastAsia="zh-CN"/>
        </w:rPr>
      </w:pPr>
      <w:r>
        <w:rPr>
          <w:rFonts w:hint="eastAsia" w:ascii="仿宋" w:hAnsi="仿宋" w:eastAsia="仿宋" w:cs="宋体"/>
          <w:b/>
          <w:bCs/>
          <w:kern w:val="1"/>
          <w:sz w:val="44"/>
          <w:szCs w:val="44"/>
          <w:highlight w:val="none"/>
          <w:u w:val="single"/>
        </w:rPr>
        <w:t>铜陵铜冠建安</w:t>
      </w:r>
      <w:r>
        <w:rPr>
          <w:rFonts w:hint="eastAsia" w:ascii="仿宋" w:hAnsi="仿宋" w:eastAsia="仿宋" w:cs="宋体"/>
          <w:b/>
          <w:bCs/>
          <w:kern w:val="1"/>
          <w:sz w:val="44"/>
          <w:szCs w:val="44"/>
          <w:highlight w:val="none"/>
          <w:u w:val="single"/>
          <w:lang w:eastAsia="zh-CN"/>
        </w:rPr>
        <w:t>公司</w:t>
      </w:r>
    </w:p>
    <w:p w14:paraId="5197D823">
      <w:pPr>
        <w:spacing w:line="560" w:lineRule="exact"/>
        <w:jc w:val="center"/>
        <w:rPr>
          <w:rFonts w:hint="eastAsia" w:ascii="仿宋" w:hAnsi="仿宋" w:eastAsia="仿宋" w:cs="宋体"/>
          <w:b/>
          <w:bCs/>
          <w:kern w:val="1"/>
          <w:sz w:val="44"/>
          <w:szCs w:val="44"/>
          <w:highlight w:val="none"/>
          <w:u w:val="single"/>
          <w:lang w:val="en-US" w:eastAsia="zh-CN"/>
        </w:rPr>
      </w:pPr>
      <w:r>
        <w:rPr>
          <w:rFonts w:hint="eastAsia" w:ascii="仿宋" w:hAnsi="仿宋" w:eastAsia="仿宋" w:cs="宋体"/>
          <w:b/>
          <w:bCs/>
          <w:kern w:val="1"/>
          <w:sz w:val="44"/>
          <w:szCs w:val="44"/>
          <w:highlight w:val="none"/>
          <w:u w:val="single"/>
          <w:lang w:eastAsia="zh-CN"/>
        </w:rPr>
        <w:t>第</w:t>
      </w:r>
      <w:r>
        <w:rPr>
          <w:rFonts w:hint="eastAsia" w:ascii="仿宋" w:hAnsi="仿宋" w:eastAsia="仿宋" w:cs="宋体"/>
          <w:b/>
          <w:bCs/>
          <w:kern w:val="1"/>
          <w:sz w:val="44"/>
          <w:szCs w:val="44"/>
          <w:highlight w:val="none"/>
          <w:u w:val="single"/>
          <w:lang w:val="en-US" w:eastAsia="zh-CN"/>
        </w:rPr>
        <w:t>一</w:t>
      </w:r>
      <w:r>
        <w:rPr>
          <w:rFonts w:hint="eastAsia" w:ascii="仿宋" w:hAnsi="仿宋" w:eastAsia="仿宋" w:cs="宋体"/>
          <w:b/>
          <w:bCs/>
          <w:kern w:val="1"/>
          <w:sz w:val="44"/>
          <w:szCs w:val="44"/>
          <w:highlight w:val="none"/>
          <w:u w:val="single"/>
          <w:lang w:eastAsia="zh-CN"/>
        </w:rPr>
        <w:t>事业部</w:t>
      </w:r>
      <w:r>
        <w:rPr>
          <w:rFonts w:hint="eastAsia" w:ascii="仿宋" w:hAnsi="仿宋" w:eastAsia="仿宋" w:cs="宋体"/>
          <w:b/>
          <w:bCs/>
          <w:kern w:val="1"/>
          <w:sz w:val="44"/>
          <w:szCs w:val="44"/>
          <w:highlight w:val="none"/>
          <w:u w:val="single"/>
          <w:lang w:val="en-US" w:eastAsia="zh-CN"/>
        </w:rPr>
        <w:t>赤峰</w:t>
      </w:r>
      <w:r>
        <w:rPr>
          <w:rFonts w:hint="eastAsia" w:ascii="仿宋" w:hAnsi="仿宋" w:eastAsia="仿宋" w:cs="宋体"/>
          <w:b/>
          <w:bCs/>
          <w:kern w:val="1"/>
          <w:sz w:val="44"/>
          <w:szCs w:val="44"/>
          <w:highlight w:val="none"/>
          <w:u w:val="single"/>
          <w:lang w:eastAsia="zh-CN"/>
        </w:rPr>
        <w:t>项目钢材</w:t>
      </w:r>
    </w:p>
    <w:p w14:paraId="5B6C952D">
      <w:pPr>
        <w:tabs>
          <w:tab w:val="left" w:pos="7020"/>
        </w:tabs>
        <w:jc w:val="center"/>
        <w:rPr>
          <w:rFonts w:ascii="仿宋" w:hAnsi="仿宋" w:eastAsia="仿宋" w:cs="宋体"/>
          <w:b/>
          <w:bCs/>
          <w:kern w:val="1"/>
          <w:sz w:val="44"/>
          <w:szCs w:val="44"/>
          <w:highlight w:val="none"/>
          <w:u w:val="single"/>
        </w:rPr>
      </w:pPr>
    </w:p>
    <w:p w14:paraId="474BB570">
      <w:pPr>
        <w:spacing w:line="560" w:lineRule="exact"/>
        <w:rPr>
          <w:rFonts w:ascii="仿宋" w:hAnsi="仿宋" w:eastAsia="仿宋"/>
          <w:sz w:val="44"/>
          <w:szCs w:val="44"/>
          <w:highlight w:val="none"/>
        </w:rPr>
      </w:pPr>
    </w:p>
    <w:p w14:paraId="5CE99B99">
      <w:pPr>
        <w:tabs>
          <w:tab w:val="left" w:pos="7020"/>
        </w:tabs>
        <w:jc w:val="center"/>
        <w:rPr>
          <w:rFonts w:ascii="仿宋" w:hAnsi="仿宋" w:eastAsia="仿宋"/>
          <w:b/>
          <w:sz w:val="72"/>
          <w:szCs w:val="72"/>
          <w:highlight w:val="none"/>
        </w:rPr>
      </w:pPr>
      <w:r>
        <w:rPr>
          <w:rFonts w:hint="eastAsia" w:ascii="仿宋" w:hAnsi="仿宋" w:eastAsia="仿宋"/>
          <w:b/>
          <w:sz w:val="72"/>
          <w:szCs w:val="72"/>
          <w:highlight w:val="none"/>
        </w:rPr>
        <w:t>竞价文件</w:t>
      </w:r>
    </w:p>
    <w:p w14:paraId="5729A14D">
      <w:pPr>
        <w:tabs>
          <w:tab w:val="left" w:pos="7020"/>
        </w:tabs>
        <w:spacing w:line="560" w:lineRule="exact"/>
        <w:jc w:val="center"/>
        <w:rPr>
          <w:rFonts w:ascii="仿宋" w:hAnsi="仿宋" w:eastAsia="仿宋"/>
          <w:b/>
          <w:sz w:val="52"/>
          <w:szCs w:val="52"/>
          <w:highlight w:val="none"/>
        </w:rPr>
      </w:pPr>
    </w:p>
    <w:p w14:paraId="576D3DAC">
      <w:pPr>
        <w:tabs>
          <w:tab w:val="left" w:pos="7020"/>
        </w:tabs>
        <w:spacing w:line="560" w:lineRule="exact"/>
        <w:jc w:val="center"/>
        <w:rPr>
          <w:rFonts w:ascii="仿宋" w:hAnsi="仿宋" w:eastAsia="仿宋"/>
          <w:b/>
          <w:sz w:val="52"/>
          <w:szCs w:val="52"/>
          <w:highlight w:val="none"/>
        </w:rPr>
      </w:pPr>
    </w:p>
    <w:p w14:paraId="5C09D64B">
      <w:pPr>
        <w:spacing w:line="560" w:lineRule="exact"/>
        <w:rPr>
          <w:rFonts w:hint="default" w:ascii="仿宋" w:hAnsi="仿宋" w:eastAsia="仿宋" w:cs="仿宋_GB2312"/>
          <w:b/>
          <w:bCs/>
          <w:sz w:val="32"/>
          <w:szCs w:val="32"/>
          <w:highlight w:val="none"/>
          <w:u w:val="single"/>
          <w:lang w:val="en-US" w:eastAsia="zh-CN"/>
        </w:rPr>
      </w:pPr>
      <w:r>
        <w:rPr>
          <w:rFonts w:hint="eastAsia" w:ascii="仿宋" w:hAnsi="仿宋" w:eastAsia="仿宋" w:cs="仿宋_GB2312"/>
          <w:b/>
          <w:bCs/>
          <w:sz w:val="32"/>
          <w:szCs w:val="32"/>
          <w:highlight w:val="none"/>
        </w:rPr>
        <w:t>招标编号：</w:t>
      </w:r>
      <w:r>
        <w:rPr>
          <w:rFonts w:hint="eastAsia" w:ascii="仿宋" w:hAnsi="仿宋" w:eastAsia="仿宋" w:cs="仿宋_GB2312"/>
          <w:b/>
          <w:bCs/>
          <w:sz w:val="32"/>
          <w:szCs w:val="32"/>
          <w:highlight w:val="none"/>
          <w:u w:val="single"/>
        </w:rPr>
        <w:t>TGJA-WZ-2024</w:t>
      </w:r>
      <w:r>
        <w:rPr>
          <w:rFonts w:hint="eastAsia" w:ascii="仿宋" w:hAnsi="仿宋" w:eastAsia="仿宋" w:cs="仿宋_GB2312"/>
          <w:b/>
          <w:bCs/>
          <w:sz w:val="32"/>
          <w:szCs w:val="32"/>
          <w:highlight w:val="none"/>
          <w:u w:val="single"/>
          <w:lang w:val="en-US" w:eastAsia="zh-CN"/>
        </w:rPr>
        <w:t>133</w:t>
      </w:r>
    </w:p>
    <w:p w14:paraId="3CE2FB08">
      <w:pPr>
        <w:spacing w:line="560" w:lineRule="exact"/>
        <w:rPr>
          <w:rFonts w:ascii="仿宋" w:hAnsi="仿宋" w:eastAsia="仿宋" w:cs="仿宋_GB2312"/>
          <w:b/>
          <w:bCs/>
          <w:sz w:val="32"/>
          <w:szCs w:val="32"/>
          <w:highlight w:val="none"/>
          <w:u w:val="single"/>
        </w:rPr>
      </w:pPr>
    </w:p>
    <w:p w14:paraId="7E12952F">
      <w:pPr>
        <w:spacing w:line="560" w:lineRule="exact"/>
        <w:rPr>
          <w:rFonts w:ascii="仿宋" w:hAnsi="仿宋" w:eastAsia="仿宋" w:cs="仿宋_GB2312"/>
          <w:b/>
          <w:bCs/>
          <w:sz w:val="28"/>
          <w:szCs w:val="28"/>
          <w:highlight w:val="none"/>
        </w:rPr>
      </w:pPr>
      <w:r>
        <w:rPr>
          <w:rFonts w:hint="eastAsia" w:ascii="仿宋" w:hAnsi="仿宋" w:eastAsia="仿宋" w:cs="仿宋_GB2312"/>
          <w:b/>
          <w:bCs/>
          <w:sz w:val="32"/>
          <w:szCs w:val="32"/>
          <w:highlight w:val="none"/>
        </w:rPr>
        <w:t xml:space="preserve">招 标 人: </w:t>
      </w:r>
      <w:r>
        <w:rPr>
          <w:rFonts w:hint="eastAsia" w:ascii="仿宋" w:hAnsi="仿宋" w:eastAsia="仿宋" w:cs="仿宋_GB2312"/>
          <w:b/>
          <w:bCs/>
          <w:sz w:val="28"/>
          <w:szCs w:val="28"/>
          <w:highlight w:val="none"/>
        </w:rPr>
        <w:t>铜陵有色金属集团铜冠建筑安装股份有限公司（盖章）</w:t>
      </w:r>
    </w:p>
    <w:p w14:paraId="383E61A0">
      <w:pPr>
        <w:spacing w:line="560" w:lineRule="exact"/>
        <w:rPr>
          <w:rFonts w:ascii="仿宋" w:hAnsi="仿宋" w:eastAsia="仿宋" w:cs="仿宋_GB2312"/>
          <w:b/>
          <w:bCs/>
          <w:sz w:val="32"/>
          <w:szCs w:val="32"/>
          <w:highlight w:val="none"/>
        </w:rPr>
      </w:pPr>
    </w:p>
    <w:p w14:paraId="6B100E96">
      <w:pPr>
        <w:spacing w:line="560" w:lineRule="exact"/>
        <w:rPr>
          <w:rFonts w:ascii="仿宋" w:hAnsi="仿宋" w:eastAsia="仿宋" w:cs="仿宋_GB2312"/>
          <w:b/>
          <w:bCs/>
          <w:sz w:val="32"/>
          <w:szCs w:val="32"/>
          <w:highlight w:val="none"/>
          <w:u w:val="single"/>
        </w:rPr>
      </w:pPr>
      <w:r>
        <w:rPr>
          <w:rFonts w:hint="eastAsia" w:ascii="仿宋" w:hAnsi="仿宋" w:eastAsia="仿宋" w:cs="仿宋_GB2312"/>
          <w:b/>
          <w:bCs/>
          <w:sz w:val="32"/>
          <w:szCs w:val="32"/>
          <w:highlight w:val="none"/>
        </w:rPr>
        <w:t>联 系 人：</w:t>
      </w:r>
      <w:r>
        <w:rPr>
          <w:rFonts w:hint="eastAsia" w:ascii="仿宋" w:hAnsi="仿宋" w:eastAsia="仿宋" w:cs="仿宋_GB2312"/>
          <w:b/>
          <w:bCs/>
          <w:sz w:val="32"/>
          <w:szCs w:val="32"/>
          <w:highlight w:val="none"/>
          <w:u w:val="single"/>
        </w:rPr>
        <w:t>叶明陵（13865621916）、</w:t>
      </w:r>
      <w:r>
        <w:rPr>
          <w:rFonts w:hint="eastAsia" w:ascii="仿宋" w:hAnsi="仿宋" w:eastAsia="仿宋" w:cs="仿宋_GB2312"/>
          <w:b/>
          <w:bCs/>
          <w:sz w:val="32"/>
          <w:szCs w:val="32"/>
          <w:highlight w:val="none"/>
          <w:u w:val="single"/>
          <w:lang w:val="en-US" w:eastAsia="zh-CN"/>
        </w:rPr>
        <w:t>姚佳琳</w:t>
      </w:r>
      <w:r>
        <w:rPr>
          <w:rFonts w:hint="eastAsia" w:ascii="仿宋" w:hAnsi="仿宋" w:eastAsia="仿宋" w:cs="仿宋_GB2312"/>
          <w:b/>
          <w:bCs/>
          <w:sz w:val="32"/>
          <w:szCs w:val="32"/>
          <w:highlight w:val="none"/>
          <w:u w:val="single"/>
        </w:rPr>
        <w:t>（</w:t>
      </w:r>
      <w:r>
        <w:rPr>
          <w:rFonts w:hint="eastAsia" w:ascii="仿宋" w:hAnsi="仿宋" w:eastAsia="仿宋" w:cs="仿宋_GB2312"/>
          <w:b/>
          <w:bCs/>
          <w:sz w:val="32"/>
          <w:szCs w:val="32"/>
          <w:highlight w:val="none"/>
          <w:u w:val="single"/>
          <w:lang w:val="en-US" w:eastAsia="zh-CN"/>
        </w:rPr>
        <w:t>19856227898</w:t>
      </w:r>
      <w:r>
        <w:rPr>
          <w:rFonts w:hint="eastAsia" w:ascii="仿宋" w:hAnsi="仿宋" w:eastAsia="仿宋" w:cs="仿宋_GB2312"/>
          <w:b/>
          <w:bCs/>
          <w:sz w:val="32"/>
          <w:szCs w:val="32"/>
          <w:highlight w:val="none"/>
          <w:u w:val="single"/>
        </w:rPr>
        <w:t>）</w:t>
      </w:r>
    </w:p>
    <w:p w14:paraId="0A0BFE96">
      <w:pPr>
        <w:tabs>
          <w:tab w:val="left" w:pos="7020"/>
        </w:tabs>
        <w:snapToGrid w:val="0"/>
        <w:spacing w:line="560" w:lineRule="exact"/>
        <w:jc w:val="left"/>
        <w:rPr>
          <w:rFonts w:ascii="仿宋" w:hAnsi="仿宋" w:eastAsia="仿宋" w:cs="仿宋_GB2312"/>
          <w:b/>
          <w:bCs/>
          <w:sz w:val="32"/>
          <w:szCs w:val="32"/>
          <w:highlight w:val="none"/>
          <w:u w:val="single"/>
        </w:rPr>
      </w:pPr>
    </w:p>
    <w:p w14:paraId="038287A3">
      <w:pPr>
        <w:tabs>
          <w:tab w:val="left" w:pos="7020"/>
        </w:tabs>
        <w:snapToGrid w:val="0"/>
        <w:spacing w:line="560" w:lineRule="exact"/>
        <w:jc w:val="left"/>
        <w:rPr>
          <w:rFonts w:ascii="仿宋" w:hAnsi="仿宋" w:eastAsia="仿宋" w:cs="仿宋_GB2312"/>
          <w:b/>
          <w:bCs/>
          <w:sz w:val="32"/>
          <w:szCs w:val="32"/>
          <w:highlight w:val="none"/>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14:paraId="652E86AD">
      <w:pPr>
        <w:spacing w:line="360" w:lineRule="auto"/>
        <w:rPr>
          <w:rFonts w:ascii="仿宋" w:hAnsi="仿宋" w:eastAsia="仿宋" w:cs="仿宋_GB2312"/>
          <w:b/>
          <w:bCs/>
          <w:sz w:val="24"/>
          <w:highlight w:val="none"/>
        </w:rPr>
      </w:pPr>
      <w:r>
        <w:rPr>
          <w:rFonts w:hint="eastAsia" w:ascii="仿宋" w:hAnsi="仿宋" w:eastAsia="仿宋" w:cs="仿宋_GB2312"/>
          <w:b/>
          <w:bCs/>
          <w:sz w:val="24"/>
          <w:highlight w:val="none"/>
        </w:rPr>
        <w:t>【声明】</w:t>
      </w:r>
    </w:p>
    <w:p w14:paraId="0E2F9EA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1、公开招标（竞价）是铜冠建安公司为规范自主采购管理，推进阳光工程而采取的公开竞争性采购方式，公司物资供应部根据阳光工程相关规定通过招标平台进行公开招标（竞价）。</w:t>
      </w:r>
    </w:p>
    <w:p w14:paraId="6FE58367">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2、公开招标（竞价）为不见面开标。</w:t>
      </w:r>
    </w:p>
    <w:p w14:paraId="434A1016">
      <w:pPr>
        <w:spacing w:line="360" w:lineRule="auto"/>
        <w:jc w:val="center"/>
        <w:rPr>
          <w:rFonts w:ascii="仿宋" w:hAnsi="仿宋" w:eastAsia="仿宋" w:cs="仿宋_GB2312"/>
          <w:b/>
          <w:sz w:val="24"/>
          <w:highlight w:val="none"/>
        </w:rPr>
      </w:pPr>
    </w:p>
    <w:p w14:paraId="4AEFEB83">
      <w:pPr>
        <w:spacing w:line="360" w:lineRule="auto"/>
        <w:jc w:val="center"/>
        <w:rPr>
          <w:rFonts w:ascii="仿宋" w:hAnsi="仿宋" w:eastAsia="仿宋" w:cs="仿宋_GB2312"/>
          <w:b/>
          <w:sz w:val="24"/>
          <w:highlight w:val="none"/>
        </w:rPr>
      </w:pPr>
    </w:p>
    <w:p w14:paraId="0AE114CD">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一、</w:t>
      </w:r>
      <w:r>
        <w:rPr>
          <w:rFonts w:hint="eastAsia" w:ascii="仿宋" w:hAnsi="仿宋" w:eastAsia="仿宋" w:cs="仿宋_GB2312"/>
          <w:b/>
          <w:sz w:val="24"/>
          <w:highlight w:val="none"/>
          <w:lang w:eastAsia="zh-CN"/>
        </w:rPr>
        <w:t>竞价</w:t>
      </w:r>
      <w:r>
        <w:rPr>
          <w:rFonts w:hint="eastAsia" w:ascii="仿宋" w:hAnsi="仿宋" w:eastAsia="仿宋" w:cs="仿宋_GB2312"/>
          <w:b/>
          <w:sz w:val="24"/>
          <w:highlight w:val="none"/>
        </w:rPr>
        <w:t>日程安排</w:t>
      </w:r>
    </w:p>
    <w:p w14:paraId="31CBF1CE">
      <w:pPr>
        <w:spacing w:line="360" w:lineRule="auto"/>
        <w:rPr>
          <w:rFonts w:ascii="仿宋" w:hAnsi="仿宋" w:eastAsia="仿宋" w:cs="仿宋_GB2312"/>
          <w:b/>
          <w:sz w:val="24"/>
          <w:highlight w:val="none"/>
        </w:rPr>
      </w:pPr>
    </w:p>
    <w:p w14:paraId="06807A89">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日9:00</w:t>
      </w:r>
    </w:p>
    <w:p w14:paraId="152CC5C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0B7157AB">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2ABA941">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4、开标时间：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日9:00</w:t>
      </w:r>
    </w:p>
    <w:p w14:paraId="28B69C11">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5、发中标通知书时间：另行通知</w:t>
      </w:r>
    </w:p>
    <w:p w14:paraId="60ED787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6、签订合同时间：另行通知</w:t>
      </w:r>
    </w:p>
    <w:p w14:paraId="1F24BBD7">
      <w:pPr>
        <w:spacing w:line="360" w:lineRule="auto"/>
        <w:ind w:firstLine="480" w:firstLineChars="200"/>
        <w:rPr>
          <w:rFonts w:ascii="仿宋" w:hAnsi="仿宋" w:eastAsia="仿宋" w:cs="仿宋_GB2312"/>
          <w:sz w:val="24"/>
          <w:highlight w:val="none"/>
        </w:rPr>
      </w:pPr>
    </w:p>
    <w:p w14:paraId="62BEAE96">
      <w:pPr>
        <w:spacing w:line="360" w:lineRule="auto"/>
        <w:rPr>
          <w:rFonts w:ascii="仿宋" w:hAnsi="仿宋" w:eastAsia="仿宋" w:cs="仿宋_GB2312"/>
          <w:b/>
          <w:sz w:val="24"/>
          <w:highlight w:val="none"/>
        </w:rPr>
      </w:pPr>
    </w:p>
    <w:p w14:paraId="38367AFB">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二、招标内容</w:t>
      </w:r>
    </w:p>
    <w:p w14:paraId="49BC065E">
      <w:pPr>
        <w:spacing w:line="360" w:lineRule="auto"/>
        <w:jc w:val="center"/>
        <w:rPr>
          <w:rFonts w:ascii="仿宋" w:hAnsi="仿宋" w:eastAsia="仿宋" w:cs="仿宋_GB2312"/>
          <w:b/>
          <w:sz w:val="24"/>
          <w:highlight w:val="none"/>
        </w:rPr>
      </w:pPr>
    </w:p>
    <w:p w14:paraId="6B6C730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w:t>
      </w:r>
      <w:r>
        <w:rPr>
          <w:rFonts w:hint="eastAsia" w:ascii="仿宋" w:hAnsi="仿宋" w:eastAsia="仿宋" w:cs="仿宋_GB2312"/>
          <w:sz w:val="24"/>
          <w:highlight w:val="none"/>
          <w:u w:val="single"/>
        </w:rPr>
        <w:t>本次</w:t>
      </w:r>
      <w:r>
        <w:rPr>
          <w:rFonts w:hint="eastAsia" w:ascii="仿宋" w:hAnsi="仿宋" w:eastAsia="仿宋" w:cs="仿宋_GB2312"/>
          <w:sz w:val="24"/>
          <w:highlight w:val="none"/>
          <w:u w:val="single"/>
          <w:lang w:eastAsia="zh-CN"/>
        </w:rPr>
        <w:t>竞价</w:t>
      </w:r>
      <w:r>
        <w:rPr>
          <w:rFonts w:hint="eastAsia" w:ascii="仿宋" w:hAnsi="仿宋" w:eastAsia="仿宋" w:cs="仿宋_GB2312"/>
          <w:sz w:val="24"/>
          <w:highlight w:val="none"/>
          <w:u w:val="single"/>
        </w:rPr>
        <w:t>的具体内容如下：</w:t>
      </w:r>
    </w:p>
    <w:p w14:paraId="0AA62F19">
      <w:pPr>
        <w:spacing w:line="360" w:lineRule="auto"/>
        <w:ind w:firstLine="776" w:firstLineChars="400"/>
        <w:rPr>
          <w:rFonts w:ascii="仿宋" w:hAnsi="仿宋" w:eastAsia="仿宋" w:cs="仿宋_GB2312"/>
          <w:spacing w:val="-23"/>
          <w:sz w:val="24"/>
          <w:highlight w:val="none"/>
          <w:u w:val="single"/>
        </w:rPr>
      </w:pPr>
      <w:r>
        <w:rPr>
          <w:rFonts w:hint="eastAsia" w:ascii="仿宋" w:hAnsi="仿宋" w:eastAsia="仿宋" w:cs="仿宋_GB2312"/>
          <w:spacing w:val="-23"/>
          <w:sz w:val="24"/>
          <w:highlight w:val="none"/>
          <w:u w:val="single"/>
        </w:rPr>
        <w:t>详见报价单。</w:t>
      </w:r>
    </w:p>
    <w:p w14:paraId="2EE6C7F2">
      <w:pPr>
        <w:spacing w:line="360" w:lineRule="auto"/>
        <w:ind w:firstLine="388" w:firstLineChars="200"/>
        <w:rPr>
          <w:rFonts w:ascii="仿宋" w:hAnsi="仿宋" w:eastAsia="仿宋" w:cs="仿宋_GB2312"/>
          <w:spacing w:val="-23"/>
          <w:sz w:val="24"/>
          <w:highlight w:val="none"/>
          <w:u w:val="single"/>
        </w:rPr>
      </w:pPr>
    </w:p>
    <w:p w14:paraId="534E585B">
      <w:pPr>
        <w:spacing w:line="360" w:lineRule="auto"/>
        <w:ind w:firstLine="388" w:firstLineChars="200"/>
        <w:rPr>
          <w:rFonts w:ascii="仿宋" w:hAnsi="仿宋" w:eastAsia="仿宋" w:cs="仿宋_GB2312"/>
          <w:spacing w:val="-23"/>
          <w:sz w:val="24"/>
          <w:highlight w:val="none"/>
          <w:u w:val="single"/>
        </w:rPr>
      </w:pPr>
    </w:p>
    <w:p w14:paraId="6F17351A">
      <w:pPr>
        <w:spacing w:line="360" w:lineRule="auto"/>
        <w:rPr>
          <w:rFonts w:ascii="仿宋" w:hAnsi="仿宋" w:eastAsia="仿宋" w:cs="仿宋_GB2312"/>
          <w:sz w:val="24"/>
          <w:highlight w:val="none"/>
        </w:rPr>
      </w:pPr>
      <w:r>
        <w:rPr>
          <w:rFonts w:hint="eastAsia" w:ascii="仿宋" w:hAnsi="仿宋" w:eastAsia="仿宋" w:cs="仿宋_GB2312"/>
          <w:b/>
          <w:bCs/>
          <w:sz w:val="24"/>
          <w:highlight w:val="none"/>
        </w:rPr>
        <w:t>说明：</w:t>
      </w:r>
      <w:r>
        <w:rPr>
          <w:rFonts w:hint="eastAsia" w:ascii="仿宋" w:hAnsi="仿宋" w:eastAsia="仿宋" w:cs="仿宋_GB2312"/>
          <w:bCs/>
          <w:sz w:val="24"/>
          <w:highlight w:val="none"/>
        </w:rPr>
        <w:t>本次</w:t>
      </w:r>
      <w:r>
        <w:rPr>
          <w:rFonts w:hint="eastAsia" w:ascii="仿宋" w:hAnsi="仿宋" w:eastAsia="仿宋" w:cs="仿宋_GB2312"/>
          <w:bCs/>
          <w:sz w:val="24"/>
          <w:highlight w:val="none"/>
          <w:lang w:eastAsia="zh-CN"/>
        </w:rPr>
        <w:t>竞价</w:t>
      </w:r>
      <w:r>
        <w:rPr>
          <w:rFonts w:hint="eastAsia" w:ascii="仿宋" w:hAnsi="仿宋" w:eastAsia="仿宋" w:cs="仿宋_GB2312"/>
          <w:bCs/>
          <w:sz w:val="24"/>
          <w:highlight w:val="none"/>
        </w:rPr>
        <w:t>数量是</w:t>
      </w:r>
      <w:r>
        <w:rPr>
          <w:rFonts w:hint="eastAsia" w:ascii="仿宋" w:hAnsi="仿宋" w:eastAsia="仿宋" w:cs="仿宋_GB2312"/>
          <w:sz w:val="24"/>
          <w:highlight w:val="none"/>
        </w:rPr>
        <w:t>招标人在现有条件下核定的大约数量，不排除在此期间受到市场环境、生产情况、技术革新、集团统供等因素影响而造成的需求数量的变化。故而此数量仅作为本次招标、评标和签订合同时的数量依据，不作为中标人最终供货结算数量的依据，最终供货结算数量以经双方共同确认的实际供货数量为准。实际供货数量与本次招标预估的以上数量的增减丝毫不影响投标报价的效力。</w:t>
      </w:r>
    </w:p>
    <w:p w14:paraId="7C0A663A">
      <w:pPr>
        <w:spacing w:line="360" w:lineRule="auto"/>
        <w:jc w:val="center"/>
        <w:rPr>
          <w:rFonts w:ascii="仿宋" w:hAnsi="仿宋" w:eastAsia="仿宋" w:cs="仿宋_GB2312"/>
          <w:b/>
          <w:sz w:val="24"/>
          <w:highlight w:val="none"/>
        </w:rPr>
      </w:pPr>
    </w:p>
    <w:p w14:paraId="66EC5144">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三、投标人资格要求</w:t>
      </w:r>
    </w:p>
    <w:p w14:paraId="64048076">
      <w:pPr>
        <w:spacing w:line="360" w:lineRule="auto"/>
        <w:jc w:val="center"/>
        <w:rPr>
          <w:rFonts w:ascii="仿宋" w:hAnsi="仿宋" w:eastAsia="仿宋" w:cs="仿宋_GB2312"/>
          <w:b/>
          <w:sz w:val="24"/>
          <w:highlight w:val="none"/>
        </w:rPr>
      </w:pPr>
    </w:p>
    <w:p w14:paraId="47686DE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1、在中华人民共和国境内依法经国家工商、税务机关登记注册。</w:t>
      </w:r>
    </w:p>
    <w:p w14:paraId="011CF0EB">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2、投标人须为一般纳税人</w:t>
      </w:r>
      <w:r>
        <w:rPr>
          <w:rFonts w:hint="eastAsia" w:ascii="仿宋" w:hAnsi="仿宋" w:eastAsia="仿宋" w:cs="仿宋_GB2312"/>
          <w:sz w:val="24"/>
          <w:highlight w:val="none"/>
          <w:lang w:eastAsia="zh-CN"/>
        </w:rPr>
        <w:t>或小规模纳税人</w:t>
      </w:r>
      <w:r>
        <w:rPr>
          <w:rFonts w:hint="eastAsia" w:ascii="仿宋" w:hAnsi="仿宋" w:eastAsia="仿宋" w:cs="仿宋_GB2312"/>
          <w:sz w:val="24"/>
          <w:highlight w:val="none"/>
        </w:rPr>
        <w:t>。</w:t>
      </w:r>
    </w:p>
    <w:p w14:paraId="46074BB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3、投标人提供的相关资质证件均须在年审有效期内。</w:t>
      </w:r>
    </w:p>
    <w:p w14:paraId="6E48510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4、有生产经营和安全许可要求的，必须有相应有效的许可证。</w:t>
      </w:r>
    </w:p>
    <w:p w14:paraId="48EC8376">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5、投标人近三年无重大失信和违法、违纪行为等不良记录。</w:t>
      </w:r>
    </w:p>
    <w:p w14:paraId="671B9572">
      <w:pPr>
        <w:spacing w:line="360" w:lineRule="auto"/>
        <w:rPr>
          <w:rFonts w:ascii="仿宋" w:hAnsi="仿宋" w:eastAsia="仿宋" w:cs="仿宋_GB2312"/>
          <w:sz w:val="24"/>
          <w:highlight w:val="none"/>
        </w:rPr>
      </w:pPr>
    </w:p>
    <w:p w14:paraId="7631B7C8">
      <w:pPr>
        <w:spacing w:line="360" w:lineRule="auto"/>
        <w:rPr>
          <w:rFonts w:ascii="仿宋" w:hAnsi="仿宋" w:eastAsia="仿宋" w:cs="仿宋_GB2312"/>
          <w:b/>
          <w:sz w:val="24"/>
          <w:highlight w:val="none"/>
        </w:rPr>
      </w:pPr>
    </w:p>
    <w:p w14:paraId="44D2E19E">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四、招标公告发布的媒介及招标公告的获取</w:t>
      </w:r>
    </w:p>
    <w:p w14:paraId="1618C535">
      <w:pPr>
        <w:spacing w:line="360" w:lineRule="auto"/>
        <w:jc w:val="center"/>
        <w:rPr>
          <w:rFonts w:ascii="仿宋" w:hAnsi="仿宋" w:eastAsia="仿宋" w:cs="仿宋_GB2312"/>
          <w:b/>
          <w:sz w:val="24"/>
          <w:highlight w:val="none"/>
        </w:rPr>
      </w:pPr>
    </w:p>
    <w:p w14:paraId="3FF2015D">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本次招标公告（包括后期如有对招标文件所作的澄清、修改等。）将在铜冠建筑安装股份有限公司网（http://www.tltgja.com.cn/）在线招标--物资招标上发布。招标公告请投标人自行下载。</w:t>
      </w:r>
    </w:p>
    <w:p w14:paraId="7DC1C4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所有招标信息均以以上网站发布为准，其它任何形式的内容不作为招标投标以及开标评标的依据。</w:t>
      </w:r>
    </w:p>
    <w:p w14:paraId="502C75FA">
      <w:pPr>
        <w:spacing w:line="360" w:lineRule="auto"/>
        <w:ind w:firstLine="480" w:firstLineChars="200"/>
        <w:rPr>
          <w:rFonts w:ascii="仿宋" w:hAnsi="仿宋" w:eastAsia="仿宋" w:cs="仿宋_GB2312"/>
          <w:sz w:val="24"/>
          <w:highlight w:val="none"/>
        </w:rPr>
      </w:pPr>
    </w:p>
    <w:p w14:paraId="78D95415">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五、投标报名</w:t>
      </w:r>
    </w:p>
    <w:p w14:paraId="56F68101">
      <w:pPr>
        <w:spacing w:line="360" w:lineRule="auto"/>
        <w:jc w:val="center"/>
        <w:rPr>
          <w:rFonts w:ascii="仿宋" w:hAnsi="仿宋" w:eastAsia="仿宋" w:cs="仿宋_GB2312"/>
          <w:b/>
          <w:sz w:val="24"/>
          <w:highlight w:val="none"/>
        </w:rPr>
      </w:pPr>
    </w:p>
    <w:p w14:paraId="31C6BCA9">
      <w:pPr>
        <w:spacing w:line="360" w:lineRule="auto"/>
        <w:ind w:firstLine="484" w:firstLineChars="202"/>
        <w:rPr>
          <w:rFonts w:ascii="仿宋" w:hAnsi="仿宋" w:eastAsia="仿宋" w:cs="仿宋_GB2312"/>
          <w:b/>
          <w:bCs/>
          <w:sz w:val="24"/>
          <w:highlight w:val="none"/>
        </w:rPr>
      </w:pPr>
      <w:r>
        <w:rPr>
          <w:rFonts w:hint="eastAsia" w:ascii="仿宋" w:hAnsi="仿宋" w:eastAsia="仿宋" w:cs="仿宋_GB2312"/>
          <w:sz w:val="24"/>
          <w:highlight w:val="none"/>
        </w:rPr>
        <w:t>1、各投标人须在指定时间前至铜冠建安公司报名，同时通过投标报名的资格审查。</w:t>
      </w:r>
      <w:r>
        <w:rPr>
          <w:rFonts w:hint="eastAsia" w:ascii="仿宋" w:hAnsi="仿宋" w:eastAsia="仿宋" w:cs="仿宋_GB2312"/>
          <w:b/>
          <w:bCs/>
          <w:sz w:val="24"/>
          <w:highlight w:val="none"/>
        </w:rPr>
        <w:t>因投标人未在指定要求时间报名或未通过资格审查的视为无效投标。</w:t>
      </w:r>
    </w:p>
    <w:p w14:paraId="7E6F9D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2、报名时投标人需提供报名资料。</w:t>
      </w:r>
      <w:r>
        <w:rPr>
          <w:rFonts w:hint="eastAsia" w:ascii="仿宋" w:hAnsi="仿宋" w:eastAsia="仿宋" w:cs="仿宋_GB2312"/>
          <w:sz w:val="24"/>
          <w:highlight w:val="none"/>
          <w:u w:val="single"/>
        </w:rPr>
        <w:t>报名资料包括营业执照副本的复印件、法人身份证复印件（经办人不是法人代表的要提供法人代表授权委托书、代理人身份证复印件）、投标人单位开票资料、投标保证金汇款回单等资料，以上资料均须法定代表人逐页签字并加盖公章（原章）。</w:t>
      </w:r>
    </w:p>
    <w:p w14:paraId="4AFF3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3、报名自招标公告发布之日起至</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28</w:t>
      </w:r>
      <w:r>
        <w:rPr>
          <w:rFonts w:hint="eastAsia" w:ascii="仿宋" w:hAnsi="仿宋" w:eastAsia="仿宋" w:cs="仿宋_GB2312"/>
          <w:sz w:val="24"/>
          <w:highlight w:val="none"/>
          <w:u w:val="single"/>
        </w:rPr>
        <w:t>日12:00止</w:t>
      </w:r>
    </w:p>
    <w:p w14:paraId="76D1176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4、报名地点：</w:t>
      </w:r>
      <w:r>
        <w:rPr>
          <w:rFonts w:hint="eastAsia" w:ascii="仿宋" w:hAnsi="仿宋" w:eastAsia="仿宋" w:cs="仿宋_GB2312"/>
          <w:sz w:val="24"/>
          <w:highlight w:val="none"/>
          <w:u w:val="single"/>
        </w:rPr>
        <w:t>铜冠建安公司物资部（黄山大道南段879号主楼四楼）</w:t>
      </w:r>
    </w:p>
    <w:p w14:paraId="7376483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5、联 系 人：</w:t>
      </w:r>
      <w:r>
        <w:rPr>
          <w:rFonts w:hint="eastAsia" w:ascii="仿宋" w:hAnsi="仿宋" w:eastAsia="仿宋" w:cs="仿宋_GB2312"/>
          <w:bCs/>
          <w:sz w:val="24"/>
          <w:highlight w:val="none"/>
          <w:u w:val="single"/>
        </w:rPr>
        <w:t>叶明陵（13865621916）、</w:t>
      </w:r>
      <w:r>
        <w:rPr>
          <w:rFonts w:hint="eastAsia" w:ascii="仿宋" w:hAnsi="仿宋" w:eastAsia="仿宋" w:cs="仿宋_GB2312"/>
          <w:bCs/>
          <w:sz w:val="24"/>
          <w:highlight w:val="none"/>
          <w:u w:val="single"/>
          <w:lang w:val="en-US" w:eastAsia="zh-CN"/>
        </w:rPr>
        <w:t>姚佳琳</w:t>
      </w:r>
      <w:r>
        <w:rPr>
          <w:rFonts w:hint="eastAsia" w:ascii="仿宋" w:hAnsi="仿宋" w:eastAsia="仿宋" w:cs="仿宋_GB2312"/>
          <w:bCs/>
          <w:sz w:val="24"/>
          <w:highlight w:val="none"/>
          <w:u w:val="single"/>
        </w:rPr>
        <w:t>（</w:t>
      </w:r>
      <w:r>
        <w:rPr>
          <w:rFonts w:hint="eastAsia" w:ascii="仿宋" w:hAnsi="仿宋" w:eastAsia="仿宋" w:cs="仿宋_GB2312"/>
          <w:bCs/>
          <w:sz w:val="24"/>
          <w:highlight w:val="none"/>
          <w:u w:val="single"/>
          <w:lang w:val="en-US" w:eastAsia="zh-CN"/>
        </w:rPr>
        <w:t>19856227898</w:t>
      </w:r>
      <w:r>
        <w:rPr>
          <w:rFonts w:hint="eastAsia" w:ascii="仿宋" w:hAnsi="仿宋" w:eastAsia="仿宋" w:cs="仿宋_GB2312"/>
          <w:bCs/>
          <w:sz w:val="24"/>
          <w:highlight w:val="none"/>
          <w:u w:val="single"/>
        </w:rPr>
        <w:t>）</w:t>
      </w:r>
    </w:p>
    <w:p w14:paraId="1640E2CF">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六、保证金</w:t>
      </w:r>
    </w:p>
    <w:p w14:paraId="4129A677">
      <w:pPr>
        <w:spacing w:line="360" w:lineRule="auto"/>
        <w:jc w:val="center"/>
        <w:rPr>
          <w:rFonts w:ascii="仿宋" w:hAnsi="仿宋" w:eastAsia="仿宋" w:cs="仿宋_GB2312"/>
          <w:b/>
          <w:sz w:val="24"/>
          <w:highlight w:val="none"/>
        </w:rPr>
      </w:pPr>
    </w:p>
    <w:p w14:paraId="480C1AC5">
      <w:pPr>
        <w:spacing w:line="360" w:lineRule="auto"/>
        <w:ind w:firstLine="480" w:firstLineChars="200"/>
        <w:jc w:val="left"/>
        <w:rPr>
          <w:rFonts w:ascii="仿宋" w:hAnsi="仿宋" w:eastAsia="仿宋" w:cs="仿宋_GB2312"/>
          <w:b/>
          <w:bCs/>
          <w:color w:val="C00000"/>
          <w:sz w:val="24"/>
          <w:highlight w:val="none"/>
        </w:rPr>
      </w:pPr>
      <w:r>
        <w:rPr>
          <w:rFonts w:hint="eastAsia" w:ascii="仿宋" w:hAnsi="仿宋" w:eastAsia="仿宋" w:cs="仿宋_GB2312"/>
          <w:sz w:val="24"/>
          <w:highlight w:val="none"/>
        </w:rPr>
        <w:t>1、为严肃和规范投标行为，确保投标的顺利以及中标后合同的有效执行，投标人须向招标人缴纳投标保证金，本次需缴纳投标保</w:t>
      </w:r>
      <w:r>
        <w:rPr>
          <w:rFonts w:hint="eastAsia" w:ascii="仿宋" w:hAnsi="仿宋" w:eastAsia="仿宋" w:cs="仿宋_GB2312"/>
          <w:color w:val="000000"/>
          <w:sz w:val="24"/>
          <w:highlight w:val="none"/>
        </w:rPr>
        <w:t>证金</w:t>
      </w:r>
      <w:r>
        <w:rPr>
          <w:rFonts w:hint="eastAsia" w:ascii="仿宋" w:hAnsi="仿宋" w:eastAsia="仿宋" w:cs="仿宋_GB2312"/>
          <w:b/>
          <w:color w:val="000000"/>
          <w:sz w:val="24"/>
          <w:highlight w:val="none"/>
          <w:u w:val="single"/>
          <w:lang w:val="en-US" w:eastAsia="zh-CN"/>
        </w:rPr>
        <w:t>贰仟</w:t>
      </w:r>
      <w:r>
        <w:rPr>
          <w:rFonts w:hint="eastAsia" w:ascii="仿宋" w:hAnsi="仿宋" w:eastAsia="仿宋" w:cs="仿宋_GB2312"/>
          <w:b/>
          <w:bCs/>
          <w:color w:val="000000"/>
          <w:sz w:val="24"/>
          <w:highlight w:val="none"/>
          <w:u w:val="single"/>
        </w:rPr>
        <w:t>元整</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投标文件内附汇款凭证复印件。如投标人在铜冠建安公司（含各分子公司）有超过投标保证金数额的应收欠款，可以出具承诺书的方式将足额应收欠款转为投标保证金，承诺书作为投标资料的一部分，并附铜冠建安公司（含各分子公司）财务出具的加盖财务专用章的应收欠款证明。</w:t>
      </w:r>
      <w:r>
        <w:rPr>
          <w:rFonts w:hint="eastAsia" w:ascii="仿宋" w:hAnsi="仿宋" w:eastAsia="仿宋" w:cs="仿宋_GB2312"/>
          <w:sz w:val="24"/>
          <w:highlight w:val="none"/>
        </w:rPr>
        <w:t>）</w:t>
      </w:r>
      <w:r>
        <w:rPr>
          <w:rFonts w:hint="eastAsia" w:ascii="仿宋" w:hAnsi="仿宋" w:eastAsia="仿宋" w:cs="仿宋_GB2312"/>
          <w:b/>
          <w:bCs/>
          <w:sz w:val="24"/>
          <w:highlight w:val="none"/>
        </w:rPr>
        <w:t>无投标保证金或未出具投标保证金承诺书视为无效投标。</w:t>
      </w:r>
      <w:r>
        <w:rPr>
          <w:rFonts w:hint="eastAsia" w:ascii="仿宋" w:hAnsi="仿宋" w:eastAsia="仿宋" w:cs="仿宋_GB2312"/>
          <w:sz w:val="24"/>
          <w:highlight w:val="none"/>
        </w:rPr>
        <w:t>投标保证金须对公账户转账，不接受个人账户转账，同时要求注明</w:t>
      </w:r>
      <w:r>
        <w:rPr>
          <w:rFonts w:hint="eastAsia" w:ascii="仿宋" w:hAnsi="仿宋" w:eastAsia="仿宋" w:cs="仿宋_GB2312"/>
          <w:b/>
          <w:bCs/>
          <w:sz w:val="24"/>
          <w:highlight w:val="none"/>
          <w:u w:val="single"/>
        </w:rPr>
        <w:t>铜陵铜冠建安</w:t>
      </w:r>
      <w:r>
        <w:rPr>
          <w:rFonts w:hint="eastAsia" w:ascii="仿宋" w:hAnsi="仿宋" w:eastAsia="仿宋" w:cs="仿宋_GB2312"/>
          <w:b/>
          <w:bCs/>
          <w:sz w:val="24"/>
          <w:highlight w:val="none"/>
          <w:u w:val="single"/>
          <w:lang w:eastAsia="zh-CN"/>
        </w:rPr>
        <w:t>公司第</w:t>
      </w:r>
      <w:r>
        <w:rPr>
          <w:rFonts w:hint="eastAsia" w:ascii="仿宋" w:hAnsi="仿宋" w:eastAsia="仿宋" w:cs="仿宋_GB2312"/>
          <w:b/>
          <w:bCs/>
          <w:sz w:val="24"/>
          <w:highlight w:val="none"/>
          <w:u w:val="single"/>
          <w:lang w:val="en-US" w:eastAsia="zh-CN"/>
        </w:rPr>
        <w:t>一</w:t>
      </w:r>
      <w:r>
        <w:rPr>
          <w:rFonts w:hint="eastAsia" w:ascii="仿宋" w:hAnsi="仿宋" w:eastAsia="仿宋" w:cs="仿宋_GB2312"/>
          <w:b/>
          <w:bCs/>
          <w:sz w:val="24"/>
          <w:highlight w:val="none"/>
          <w:u w:val="single"/>
          <w:lang w:eastAsia="zh-CN"/>
        </w:rPr>
        <w:t>事业部</w:t>
      </w:r>
      <w:r>
        <w:rPr>
          <w:rFonts w:hint="eastAsia" w:ascii="仿宋" w:hAnsi="仿宋" w:eastAsia="仿宋" w:cs="仿宋_GB2312"/>
          <w:b/>
          <w:bCs/>
          <w:sz w:val="24"/>
          <w:highlight w:val="none"/>
          <w:u w:val="single"/>
          <w:lang w:val="en-US" w:eastAsia="zh-CN"/>
        </w:rPr>
        <w:t>赤峰</w:t>
      </w:r>
      <w:r>
        <w:rPr>
          <w:rFonts w:hint="eastAsia" w:ascii="仿宋" w:hAnsi="仿宋" w:eastAsia="仿宋" w:cs="仿宋_GB2312"/>
          <w:b/>
          <w:bCs/>
          <w:sz w:val="24"/>
          <w:highlight w:val="none"/>
          <w:u w:val="single"/>
          <w:lang w:eastAsia="zh-CN"/>
        </w:rPr>
        <w:t>项目钢材</w:t>
      </w:r>
      <w:r>
        <w:rPr>
          <w:rFonts w:hint="eastAsia" w:ascii="仿宋" w:hAnsi="仿宋" w:eastAsia="仿宋" w:cs="仿宋"/>
          <w:b/>
          <w:bCs/>
          <w:sz w:val="24"/>
          <w:highlight w:val="none"/>
          <w:u w:val="single"/>
        </w:rPr>
        <w:t>TG</w:t>
      </w:r>
      <w:r>
        <w:rPr>
          <w:rFonts w:hint="eastAsia" w:ascii="仿宋" w:hAnsi="仿宋" w:eastAsia="仿宋" w:cs="仿宋_GB2312"/>
          <w:b/>
          <w:bCs/>
          <w:sz w:val="24"/>
          <w:highlight w:val="none"/>
          <w:u w:val="single"/>
        </w:rPr>
        <w:t>JA-WZ-2024</w:t>
      </w:r>
      <w:r>
        <w:rPr>
          <w:rFonts w:hint="eastAsia" w:ascii="仿宋" w:hAnsi="仿宋" w:eastAsia="仿宋" w:cs="仿宋_GB2312"/>
          <w:b/>
          <w:bCs/>
          <w:sz w:val="24"/>
          <w:highlight w:val="none"/>
          <w:u w:val="single"/>
          <w:lang w:val="en-US" w:eastAsia="zh-CN"/>
        </w:rPr>
        <w:t>133</w:t>
      </w:r>
      <w:r>
        <w:rPr>
          <w:rFonts w:hint="eastAsia" w:ascii="仿宋" w:hAnsi="仿宋" w:eastAsia="仿宋" w:cs="仿宋_GB2312"/>
          <w:b/>
          <w:bCs/>
          <w:sz w:val="24"/>
          <w:highlight w:val="none"/>
          <w:u w:val="single"/>
        </w:rPr>
        <w:t>投标保证金。</w:t>
      </w:r>
    </w:p>
    <w:p w14:paraId="2304FE80">
      <w:pPr>
        <w:spacing w:line="360" w:lineRule="auto"/>
        <w:ind w:firstLine="482" w:firstLineChars="200"/>
        <w:jc w:val="left"/>
        <w:rPr>
          <w:rFonts w:ascii="仿宋" w:hAnsi="仿宋" w:eastAsia="仿宋" w:cs="仿宋_GB2312"/>
          <w:b/>
          <w:bCs/>
          <w:color w:val="C00000"/>
          <w:sz w:val="24"/>
          <w:highlight w:val="none"/>
        </w:rPr>
      </w:pPr>
      <w:r>
        <w:rPr>
          <w:rFonts w:hint="eastAsia" w:ascii="仿宋" w:hAnsi="仿宋" w:eastAsia="仿宋" w:cs="仿宋_GB2312"/>
          <w:b/>
          <w:bCs/>
          <w:color w:val="C00000"/>
          <w:sz w:val="24"/>
          <w:highlight w:val="none"/>
        </w:rPr>
        <w:t xml:space="preserve">2、下列任何情况发生时，投标保证金将被不予退还： </w:t>
      </w:r>
    </w:p>
    <w:p w14:paraId="1CBF5529">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 xml:space="preserve">（1）投标人在投标截止后至投标有效期内撤回投标文件的； </w:t>
      </w:r>
    </w:p>
    <w:p w14:paraId="50E7C9F1">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（2）中标人未能在规定期限内按照招标文件签订合同协议；</w:t>
      </w:r>
    </w:p>
    <w:p w14:paraId="2BFB3CE4">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（3）签署合同后，未能在规定的时间内提供履约保证金；</w:t>
      </w:r>
    </w:p>
    <w:p w14:paraId="7F9330AC">
      <w:p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（4）投标人在招标中存在违规和违法行为的。</w:t>
      </w:r>
    </w:p>
    <w:p w14:paraId="16F9F872">
      <w:pPr>
        <w:spacing w:line="360" w:lineRule="auto"/>
        <w:ind w:firstLine="480" w:firstLineChars="200"/>
        <w:jc w:val="left"/>
        <w:rPr>
          <w:rFonts w:ascii="仿宋" w:hAnsi="仿宋" w:eastAsia="仿宋" w:cs="仿宋_GB2312"/>
          <w:sz w:val="24"/>
          <w:highlight w:val="none"/>
          <w:u w:val="single"/>
        </w:rPr>
      </w:pPr>
      <w:r>
        <w:rPr>
          <w:rFonts w:hint="eastAsia" w:ascii="仿宋" w:hAnsi="仿宋" w:eastAsia="仿宋" w:cs="仿宋_GB2312"/>
          <w:sz w:val="24"/>
          <w:highlight w:val="none"/>
        </w:rPr>
        <w:t>（5）中标人因自身原因放弃中标资格的。</w:t>
      </w:r>
    </w:p>
    <w:p w14:paraId="61F15B8A">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 xml:space="preserve">3、在签订合同前，中标人须交纳履约保证金。履约保证金金额为中标合同总金额的 </w:t>
      </w:r>
      <w:r>
        <w:rPr>
          <w:rFonts w:hint="eastAsia" w:ascii="仿宋" w:hAnsi="仿宋" w:eastAsia="仿宋" w:cs="仿宋_GB2312"/>
          <w:sz w:val="24"/>
          <w:highlight w:val="none"/>
          <w:u w:val="single"/>
        </w:rPr>
        <w:t xml:space="preserve">10% </w:t>
      </w:r>
      <w:r>
        <w:rPr>
          <w:rFonts w:hint="eastAsia" w:ascii="仿宋" w:hAnsi="仿宋" w:eastAsia="仿宋" w:cs="仿宋_GB2312"/>
          <w:sz w:val="24"/>
          <w:highlight w:val="none"/>
        </w:rPr>
        <w:t>（</w:t>
      </w:r>
      <w:r>
        <w:rPr>
          <w:rFonts w:hint="eastAsia" w:ascii="仿宋" w:hAnsi="仿宋" w:eastAsia="仿宋" w:cs="仿宋_GB2312"/>
          <w:sz w:val="24"/>
          <w:highlight w:val="none"/>
          <w:u w:val="single"/>
        </w:rPr>
        <w:t>如中标人在铜冠建安公司（含各分子公司）有超过履约保证金数额的应收欠款，可以出具承诺书的方式承诺将足额欠款转为履约保证金，并附铜冠建安公司（含各分子公司）财务出具加盖财务专用章的应收欠款证明。或以货款抵扣。</w:t>
      </w:r>
      <w:r>
        <w:rPr>
          <w:rFonts w:hint="eastAsia" w:ascii="仿宋" w:hAnsi="仿宋" w:eastAsia="仿宋" w:cs="仿宋_GB2312"/>
          <w:sz w:val="24"/>
          <w:highlight w:val="none"/>
        </w:rPr>
        <w:t>）</w:t>
      </w:r>
    </w:p>
    <w:p w14:paraId="1631C6B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4、招标结果公示后1个月内，向所有投标人退还投标保证金（无息）。</w:t>
      </w:r>
    </w:p>
    <w:p w14:paraId="7F9A7EA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5、公司对公账户信息</w:t>
      </w:r>
    </w:p>
    <w:p w14:paraId="3C949BC0">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账户名称：</w:t>
      </w:r>
      <w:r>
        <w:rPr>
          <w:rFonts w:hint="eastAsia" w:ascii="仿宋" w:hAnsi="仿宋" w:eastAsia="仿宋" w:cs="仿宋_GB2312"/>
          <w:sz w:val="24"/>
          <w:highlight w:val="none"/>
          <w:u w:val="single"/>
        </w:rPr>
        <w:t>铜陵有色金属集团铜冠建筑安装股份有限公司</w:t>
      </w:r>
    </w:p>
    <w:p w14:paraId="5B41F803">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账    号：</w:t>
      </w:r>
      <w:r>
        <w:rPr>
          <w:rFonts w:hint="eastAsia" w:ascii="仿宋" w:hAnsi="仿宋" w:eastAsia="仿宋" w:cs="仿宋_GB2312"/>
          <w:sz w:val="24"/>
          <w:highlight w:val="none"/>
          <w:u w:val="single"/>
        </w:rPr>
        <w:t>1308024009200056147</w:t>
      </w:r>
    </w:p>
    <w:p w14:paraId="7B2C62F7">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开 户 行：</w:t>
      </w:r>
      <w:r>
        <w:rPr>
          <w:rFonts w:hint="eastAsia" w:ascii="仿宋" w:hAnsi="仿宋" w:eastAsia="仿宋" w:cs="仿宋_GB2312"/>
          <w:sz w:val="24"/>
          <w:highlight w:val="none"/>
          <w:u w:val="single"/>
        </w:rPr>
        <w:t>工行铜陵铜都支行</w:t>
      </w:r>
    </w:p>
    <w:p w14:paraId="1B207C18">
      <w:pPr>
        <w:spacing w:line="360" w:lineRule="auto"/>
        <w:rPr>
          <w:rFonts w:ascii="仿宋" w:hAnsi="仿宋" w:eastAsia="仿宋" w:cs="仿宋_GB2312"/>
          <w:b/>
          <w:sz w:val="24"/>
          <w:highlight w:val="none"/>
        </w:rPr>
      </w:pPr>
    </w:p>
    <w:p w14:paraId="30E605BC">
      <w:pPr>
        <w:spacing w:line="360" w:lineRule="auto"/>
        <w:jc w:val="center"/>
        <w:rPr>
          <w:rFonts w:ascii="仿宋" w:hAnsi="仿宋" w:eastAsia="仿宋" w:cs="仿宋_GB2312"/>
          <w:b/>
          <w:sz w:val="24"/>
          <w:highlight w:val="none"/>
        </w:rPr>
      </w:pPr>
    </w:p>
    <w:p w14:paraId="23D89528">
      <w:pPr>
        <w:spacing w:line="360" w:lineRule="auto"/>
        <w:jc w:val="center"/>
        <w:rPr>
          <w:rFonts w:ascii="仿宋" w:hAnsi="仿宋" w:eastAsia="仿宋" w:cs="仿宋_GB2312"/>
          <w:b/>
          <w:sz w:val="24"/>
          <w:highlight w:val="none"/>
        </w:rPr>
      </w:pPr>
    </w:p>
    <w:p w14:paraId="5CE86E58">
      <w:pPr>
        <w:spacing w:line="360" w:lineRule="auto"/>
        <w:jc w:val="center"/>
        <w:rPr>
          <w:rFonts w:ascii="仿宋" w:hAnsi="仿宋" w:eastAsia="仿宋" w:cs="仿宋_GB2312"/>
          <w:b/>
          <w:sz w:val="24"/>
          <w:highlight w:val="none"/>
        </w:rPr>
      </w:pPr>
    </w:p>
    <w:p w14:paraId="45B07CF6">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七、 投标文件的递交</w:t>
      </w:r>
    </w:p>
    <w:p w14:paraId="2055E3CB">
      <w:pPr>
        <w:spacing w:line="360" w:lineRule="auto"/>
        <w:jc w:val="center"/>
        <w:rPr>
          <w:rFonts w:ascii="仿宋" w:hAnsi="仿宋" w:eastAsia="仿宋" w:cs="仿宋_GB2312"/>
          <w:b/>
          <w:sz w:val="24"/>
          <w:highlight w:val="none"/>
        </w:rPr>
      </w:pPr>
    </w:p>
    <w:p w14:paraId="085A4AB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1、投标文件递交的截止时间：</w:t>
      </w:r>
      <w:r>
        <w:rPr>
          <w:rFonts w:hint="eastAsia" w:ascii="仿宋" w:hAnsi="仿宋" w:eastAsia="仿宋" w:cs="仿宋_GB2312"/>
          <w:sz w:val="24"/>
          <w:highlight w:val="none"/>
          <w:u w:val="single"/>
        </w:rPr>
        <w:t>2024年</w:t>
      </w:r>
      <w:r>
        <w:rPr>
          <w:rFonts w:hint="eastAsia" w:ascii="仿宋" w:hAnsi="仿宋" w:eastAsia="仿宋" w:cs="仿宋_GB2312"/>
          <w:sz w:val="24"/>
          <w:highlight w:val="none"/>
          <w:u w:val="single"/>
          <w:lang w:val="en-US" w:eastAsia="zh-CN"/>
        </w:rPr>
        <w:t>8</w:t>
      </w:r>
      <w:r>
        <w:rPr>
          <w:rFonts w:hint="eastAsia" w:ascii="仿宋" w:hAnsi="仿宋" w:eastAsia="仿宋" w:cs="仿宋_GB2312"/>
          <w:sz w:val="24"/>
          <w:highlight w:val="none"/>
          <w:u w:val="single"/>
        </w:rPr>
        <w:t>月</w:t>
      </w:r>
      <w:r>
        <w:rPr>
          <w:rFonts w:hint="eastAsia" w:ascii="仿宋" w:hAnsi="仿宋" w:eastAsia="仿宋" w:cs="仿宋_GB2312"/>
          <w:sz w:val="24"/>
          <w:highlight w:val="none"/>
          <w:u w:val="single"/>
          <w:lang w:val="en-US" w:eastAsia="zh-CN"/>
        </w:rPr>
        <w:t>29</w:t>
      </w:r>
      <w:r>
        <w:rPr>
          <w:rFonts w:hint="eastAsia" w:ascii="仿宋" w:hAnsi="仿宋" w:eastAsia="仿宋" w:cs="仿宋_GB2312"/>
          <w:sz w:val="24"/>
          <w:highlight w:val="none"/>
          <w:u w:val="single"/>
        </w:rPr>
        <w:t>日9:00</w:t>
      </w:r>
    </w:p>
    <w:p w14:paraId="00BB099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2、投标文件递交地点：铜陵有色金属集团铜冠建筑安装股份有限公司经营部（黄山大道南段879号主楼四楼）</w:t>
      </w:r>
    </w:p>
    <w:p w14:paraId="23FA5DE2">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3、投标文件收件人：</w:t>
      </w:r>
      <w:r>
        <w:rPr>
          <w:rFonts w:hint="eastAsia" w:ascii="仿宋" w:hAnsi="仿宋" w:eastAsia="仿宋" w:cs="仿宋_GB2312"/>
          <w:sz w:val="24"/>
          <w:highlight w:val="none"/>
          <w:u w:val="single"/>
        </w:rPr>
        <w:t>黄赟（18656211500）。</w:t>
      </w:r>
    </w:p>
    <w:p w14:paraId="7724E0B6">
      <w:pPr>
        <w:spacing w:line="360" w:lineRule="auto"/>
        <w:ind w:firstLine="480" w:firstLineChars="200"/>
        <w:rPr>
          <w:rFonts w:ascii="仿宋" w:hAnsi="仿宋" w:eastAsia="仿宋" w:cs="仿宋_GB2312"/>
          <w:b/>
          <w:sz w:val="24"/>
          <w:highlight w:val="none"/>
        </w:rPr>
      </w:pPr>
      <w:r>
        <w:rPr>
          <w:rFonts w:hint="eastAsia" w:ascii="仿宋" w:hAnsi="仿宋" w:eastAsia="仿宋" w:cs="仿宋_GB2312"/>
          <w:sz w:val="24"/>
          <w:highlight w:val="none"/>
        </w:rPr>
        <w:t>4、逾期送达的或未按规定送达指定地点的投标文件，招标人不予受理。</w:t>
      </w:r>
    </w:p>
    <w:p w14:paraId="78D371AF">
      <w:pPr>
        <w:spacing w:line="360" w:lineRule="auto"/>
        <w:jc w:val="center"/>
        <w:rPr>
          <w:rFonts w:ascii="仿宋" w:hAnsi="仿宋" w:eastAsia="仿宋" w:cs="仿宋_GB2312"/>
          <w:b/>
          <w:sz w:val="24"/>
          <w:highlight w:val="none"/>
        </w:rPr>
      </w:pPr>
    </w:p>
    <w:p w14:paraId="0AA13A3F">
      <w:pPr>
        <w:spacing w:line="360" w:lineRule="auto"/>
        <w:jc w:val="center"/>
        <w:rPr>
          <w:rFonts w:ascii="仿宋" w:hAnsi="仿宋" w:eastAsia="仿宋" w:cs="仿宋_GB2312"/>
          <w:b/>
          <w:sz w:val="24"/>
          <w:highlight w:val="none"/>
        </w:rPr>
      </w:pPr>
    </w:p>
    <w:p w14:paraId="5271A601">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八、投标人须知</w:t>
      </w:r>
    </w:p>
    <w:p w14:paraId="018D97A8">
      <w:pPr>
        <w:spacing w:line="360" w:lineRule="auto"/>
        <w:jc w:val="center"/>
        <w:rPr>
          <w:rFonts w:ascii="仿宋" w:hAnsi="仿宋" w:eastAsia="仿宋" w:cs="仿宋_GB2312"/>
          <w:b/>
          <w:sz w:val="24"/>
          <w:highlight w:val="none"/>
        </w:rPr>
      </w:pPr>
    </w:p>
    <w:p w14:paraId="56104861">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1、本次招标材料的质量相关要求</w:t>
      </w:r>
    </w:p>
    <w:p w14:paraId="4D9D2A16">
      <w:pPr>
        <w:spacing w:line="360" w:lineRule="auto"/>
        <w:ind w:firstLine="547" w:firstLineChars="228"/>
        <w:rPr>
          <w:rFonts w:hint="eastAsia" w:ascii="仿宋" w:hAnsi="仿宋" w:eastAsia="仿宋" w:cs="仿宋"/>
          <w:sz w:val="24"/>
          <w:szCs w:val="24"/>
          <w:highlight w:val="none"/>
        </w:rPr>
      </w:pPr>
      <w:r>
        <w:rPr>
          <w:rFonts w:hint="eastAsia" w:ascii="仿宋" w:hAnsi="仿宋" w:eastAsia="仿宋" w:cs="仿宋_GB2312"/>
          <w:sz w:val="24"/>
          <w:highlight w:val="none"/>
        </w:rPr>
        <w:t>（1）</w:t>
      </w:r>
      <w:r>
        <w:rPr>
          <w:rFonts w:hint="eastAsia" w:ascii="仿宋" w:hAnsi="仿宋" w:eastAsia="仿宋" w:cs="仿宋"/>
          <w:sz w:val="24"/>
          <w:highlight w:val="none"/>
        </w:rPr>
        <w:t>材</w:t>
      </w:r>
      <w:r>
        <w:rPr>
          <w:rFonts w:hint="eastAsia" w:ascii="仿宋" w:hAnsi="仿宋" w:eastAsia="仿宋" w:cs="仿宋"/>
          <w:sz w:val="24"/>
          <w:szCs w:val="24"/>
          <w:highlight w:val="none"/>
        </w:rPr>
        <w:t>料质量要求</w:t>
      </w:r>
      <w:r>
        <w:rPr>
          <w:rFonts w:hint="eastAsia" w:ascii="仿宋" w:hAnsi="仿宋" w:eastAsia="仿宋" w:cs="仿宋"/>
          <w:sz w:val="24"/>
          <w:szCs w:val="24"/>
          <w:highlight w:val="none"/>
          <w:lang w:eastAsia="zh-CN"/>
        </w:rPr>
        <w:t>：</w:t>
      </w:r>
      <w:r>
        <w:rPr>
          <w:rFonts w:hint="eastAsia" w:ascii="仿宋" w:hAnsi="仿宋" w:eastAsia="仿宋" w:cs="仿宋"/>
          <w:color w:val="333333"/>
          <w:sz w:val="24"/>
          <w:szCs w:val="24"/>
          <w:shd w:val="clear" w:color="auto" w:fill="FFFFFF"/>
          <w:lang w:eastAsia="zh-CN"/>
        </w:rPr>
        <w:t>符合国家最新标准和招标文件要求</w:t>
      </w:r>
      <w:r>
        <w:rPr>
          <w:rFonts w:hint="eastAsia" w:ascii="仿宋" w:hAnsi="仿宋" w:eastAsia="仿宋" w:cs="仿宋"/>
          <w:color w:val="333333"/>
          <w:sz w:val="24"/>
          <w:szCs w:val="24"/>
          <w:shd w:val="clear" w:color="auto" w:fill="FFFFFF"/>
        </w:rPr>
        <w:t>。</w:t>
      </w:r>
    </w:p>
    <w:p w14:paraId="698F8D09">
      <w:pPr>
        <w:spacing w:line="360" w:lineRule="auto"/>
        <w:ind w:firstLine="547" w:firstLineChars="228"/>
        <w:rPr>
          <w:rFonts w:ascii="仿宋" w:hAnsi="仿宋" w:eastAsia="仿宋" w:cs="仿宋_GB2312"/>
          <w:sz w:val="24"/>
          <w:highlight w:val="none"/>
        </w:rPr>
      </w:pPr>
      <w:r>
        <w:rPr>
          <w:rFonts w:hint="eastAsia" w:ascii="仿宋" w:hAnsi="仿宋" w:eastAsia="仿宋" w:cs="仿宋"/>
          <w:sz w:val="24"/>
          <w:szCs w:val="24"/>
          <w:highlight w:val="none"/>
        </w:rPr>
        <w:t>（2）投标人如若中标</w:t>
      </w:r>
      <w:r>
        <w:rPr>
          <w:rFonts w:hint="eastAsia" w:ascii="仿宋" w:hAnsi="仿宋" w:eastAsia="仿宋" w:cs="仿宋_GB2312"/>
          <w:sz w:val="24"/>
          <w:highlight w:val="none"/>
        </w:rPr>
        <w:t>，提供的材料必须符合技术指标要求。</w:t>
      </w:r>
    </w:p>
    <w:p w14:paraId="5F24198B">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（3）若达不到招标人要求的，中标人无条件将该车货物拉回且不计货款，动用招标人机械装货收取</w:t>
      </w:r>
      <w:r>
        <w:rPr>
          <w:rFonts w:hint="eastAsia" w:ascii="仿宋" w:hAnsi="仿宋" w:eastAsia="仿宋" w:cs="仿宋_GB2312"/>
          <w:b/>
          <w:bCs/>
          <w:color w:val="FF0000"/>
          <w:sz w:val="24"/>
          <w:highlight w:val="none"/>
          <w:u w:val="single"/>
        </w:rPr>
        <w:t>500</w:t>
      </w:r>
      <w:r>
        <w:rPr>
          <w:rFonts w:hint="eastAsia" w:ascii="仿宋" w:hAnsi="仿宋" w:eastAsia="仿宋" w:cs="仿宋_GB2312"/>
          <w:sz w:val="24"/>
          <w:highlight w:val="none"/>
        </w:rPr>
        <w:t>元/车装车费。</w:t>
      </w:r>
    </w:p>
    <w:p w14:paraId="0727C8F6">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（4）因材料产品质量不合格所造成的相关质量问题，没收中标人履约保证金，给招标人造成的损失超过履约保证金数额的，中标人还应当对超过部分予以赔偿，同时</w:t>
      </w:r>
      <w:r>
        <w:rPr>
          <w:rFonts w:hint="eastAsia" w:ascii="仿宋" w:hAnsi="仿宋" w:eastAsia="仿宋" w:cs="仿宋_GB2312"/>
          <w:sz w:val="24"/>
          <w:highlight w:val="none"/>
          <w:u w:val="single"/>
        </w:rPr>
        <w:t>一年内</w:t>
      </w:r>
      <w:r>
        <w:rPr>
          <w:rFonts w:hint="eastAsia" w:ascii="仿宋" w:hAnsi="仿宋" w:eastAsia="仿宋" w:cs="仿宋_GB2312"/>
          <w:sz w:val="24"/>
          <w:highlight w:val="none"/>
        </w:rPr>
        <w:t>禁止参加铜冠建安公司招标。</w:t>
      </w:r>
    </w:p>
    <w:p w14:paraId="376B180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2、交货地点</w:t>
      </w:r>
    </w:p>
    <w:p w14:paraId="478CBA6B">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材料送至铜冠建安公司</w:t>
      </w:r>
      <w:r>
        <w:rPr>
          <w:rFonts w:hint="eastAsia" w:ascii="仿宋" w:hAnsi="仿宋" w:eastAsia="仿宋" w:cs="仿宋_GB2312"/>
          <w:sz w:val="24"/>
          <w:highlight w:val="none"/>
          <w:lang w:eastAsia="zh-CN"/>
        </w:rPr>
        <w:t>第</w:t>
      </w:r>
      <w:r>
        <w:rPr>
          <w:rFonts w:hint="eastAsia" w:ascii="仿宋" w:hAnsi="仿宋" w:eastAsia="仿宋" w:cs="仿宋_GB2312"/>
          <w:sz w:val="24"/>
          <w:highlight w:val="none"/>
          <w:lang w:val="en-US" w:eastAsia="zh-CN"/>
        </w:rPr>
        <w:t>一</w:t>
      </w:r>
      <w:r>
        <w:rPr>
          <w:rFonts w:hint="eastAsia" w:ascii="仿宋" w:hAnsi="仿宋" w:eastAsia="仿宋" w:cs="仿宋_GB2312"/>
          <w:sz w:val="24"/>
          <w:highlight w:val="none"/>
          <w:lang w:eastAsia="zh-CN"/>
        </w:rPr>
        <w:t>事业部</w:t>
      </w:r>
      <w:r>
        <w:rPr>
          <w:rFonts w:hint="eastAsia" w:ascii="仿宋" w:hAnsi="仿宋" w:eastAsia="仿宋" w:cs="仿宋_GB2312"/>
          <w:sz w:val="24"/>
          <w:highlight w:val="none"/>
          <w:lang w:val="en-US" w:eastAsia="zh-CN"/>
        </w:rPr>
        <w:t>赤峰</w:t>
      </w:r>
      <w:r>
        <w:rPr>
          <w:rFonts w:hint="eastAsia" w:ascii="仿宋" w:hAnsi="仿宋" w:eastAsia="仿宋" w:cs="仿宋_GB2312"/>
          <w:sz w:val="24"/>
          <w:highlight w:val="none"/>
          <w:lang w:eastAsia="zh-CN"/>
        </w:rPr>
        <w:t>项目现场</w:t>
      </w:r>
      <w:r>
        <w:rPr>
          <w:rFonts w:hint="eastAsia" w:ascii="仿宋" w:hAnsi="仿宋" w:eastAsia="仿宋" w:cs="仿宋_GB2312"/>
          <w:sz w:val="24"/>
          <w:highlight w:val="none"/>
        </w:rPr>
        <w:t>。</w:t>
      </w:r>
    </w:p>
    <w:p w14:paraId="2632F960">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3、运输要求</w:t>
      </w:r>
    </w:p>
    <w:p w14:paraId="2E12409D">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本次招标的材料由中标人负责运输。运输过程中未按相关安全、环保等要求所导致的一切安全环保生产事故由中标人承担责任。</w:t>
      </w:r>
    </w:p>
    <w:p w14:paraId="710EDCB3">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4、报价相关要求</w:t>
      </w:r>
    </w:p>
    <w:p w14:paraId="182A2231">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1</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本次招标价为含税含运费一票制价格。</w:t>
      </w:r>
    </w:p>
    <w:p w14:paraId="3272F518">
      <w:pPr>
        <w:spacing w:line="360" w:lineRule="auto"/>
        <w:ind w:firstLine="480" w:firstLineChars="200"/>
        <w:rPr>
          <w:rFonts w:hint="eastAsia" w:ascii="仿宋" w:hAnsi="仿宋" w:eastAsia="仿宋" w:cs="仿宋_GB2312"/>
          <w:sz w:val="24"/>
          <w:highlight w:val="none"/>
        </w:rPr>
      </w:pPr>
      <w:r>
        <w:rPr>
          <w:rFonts w:hint="eastAsia" w:ascii="仿宋" w:hAnsi="仿宋" w:eastAsia="仿宋" w:cs="仿宋_GB2312"/>
          <w:sz w:val="24"/>
          <w:highlight w:val="none"/>
          <w:lang w:eastAsia="zh-CN"/>
        </w:rPr>
        <w:t>（</w:t>
      </w:r>
      <w:r>
        <w:rPr>
          <w:rFonts w:hint="eastAsia" w:ascii="仿宋" w:hAnsi="仿宋" w:eastAsia="仿宋" w:cs="仿宋_GB2312"/>
          <w:sz w:val="24"/>
          <w:highlight w:val="none"/>
          <w:lang w:val="en-US" w:eastAsia="zh-CN"/>
        </w:rPr>
        <w:t>2</w:t>
      </w:r>
      <w:r>
        <w:rPr>
          <w:rFonts w:hint="eastAsia" w:ascii="仿宋" w:hAnsi="仿宋" w:eastAsia="仿宋" w:cs="仿宋_GB2312"/>
          <w:sz w:val="24"/>
          <w:highlight w:val="none"/>
          <w:lang w:eastAsia="zh-CN"/>
        </w:rPr>
        <w:t>）</w:t>
      </w:r>
      <w:r>
        <w:rPr>
          <w:rFonts w:hint="eastAsia" w:ascii="仿宋" w:hAnsi="仿宋" w:eastAsia="仿宋" w:cs="仿宋_GB2312"/>
          <w:sz w:val="24"/>
          <w:highlight w:val="none"/>
        </w:rPr>
        <w:t>一经中标，合同期内价格不予调整。</w:t>
      </w:r>
    </w:p>
    <w:p w14:paraId="2E81DD4B">
      <w:pPr>
        <w:pStyle w:val="2"/>
        <w:ind w:left="0" w:leftChars="0" w:firstLine="480" w:firstLineChars="200"/>
        <w:rPr>
          <w:rFonts w:hint="eastAsia" w:eastAsia="仿宋"/>
          <w:lang w:val="en-US" w:eastAsia="zh-CN"/>
        </w:rPr>
      </w:pPr>
      <w:r>
        <w:rPr>
          <w:rFonts w:hint="eastAsia" w:ascii="仿宋" w:hAnsi="仿宋" w:eastAsia="仿宋" w:cs="仿宋_GB2312"/>
          <w:sz w:val="24"/>
          <w:highlight w:val="none"/>
          <w:lang w:val="en-US" w:eastAsia="zh-CN"/>
        </w:rPr>
        <w:t>（3）报价方式：按我的钢铁网赤峰地区相同时间（供货时间）相同规格钢材价格下浮方式报价。</w:t>
      </w:r>
    </w:p>
    <w:p w14:paraId="690CF505">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5、标书相关要求</w:t>
      </w:r>
    </w:p>
    <w:p w14:paraId="21FCC149">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1）投标法定代表人应在报价单相应位置签字及加盖公章，如经办人不是法人代表，须提供本人身份证复印件、法人身份证复印件、投标廉洁承诺书及有法人代表签字的《法人代表授权书》，以上资料须法定代表人逐页签字并加盖公章（原章）作为投标资料的一部分。</w:t>
      </w:r>
      <w:r>
        <w:rPr>
          <w:rFonts w:hint="eastAsia" w:ascii="仿宋" w:hAnsi="仿宋" w:eastAsia="仿宋" w:cs="仿宋_GB2312"/>
          <w:b/>
          <w:bCs/>
          <w:sz w:val="24"/>
          <w:highlight w:val="none"/>
        </w:rPr>
        <w:t>以上事项不符合要求的视为无效投标。</w:t>
      </w:r>
    </w:p>
    <w:p w14:paraId="6CA2DFCB">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（2）投标文件密封袋封口处应密封完整，加盖投标单位公章，并且注明招标编号及材料名称。因投标人制作、密封、寄送报价文件</w:t>
      </w:r>
      <w:r>
        <w:rPr>
          <w:rFonts w:hint="eastAsia" w:ascii="仿宋" w:hAnsi="仿宋" w:eastAsia="仿宋" w:cs="仿宋_GB2312"/>
          <w:b/>
          <w:bCs/>
          <w:sz w:val="24"/>
          <w:highlight w:val="none"/>
        </w:rPr>
        <w:t>不符合要求的视为无效投标。</w:t>
      </w:r>
    </w:p>
    <w:p w14:paraId="3707126B">
      <w:pPr>
        <w:spacing w:line="360" w:lineRule="auto"/>
        <w:ind w:firstLine="547" w:firstLineChars="228"/>
        <w:rPr>
          <w:rFonts w:ascii="仿宋" w:hAnsi="仿宋" w:eastAsia="仿宋" w:cs="仿宋_GB2312"/>
          <w:b/>
          <w:bCs/>
          <w:sz w:val="24"/>
          <w:highlight w:val="none"/>
        </w:rPr>
      </w:pPr>
      <w:r>
        <w:rPr>
          <w:rFonts w:hint="eastAsia" w:ascii="仿宋" w:hAnsi="仿宋" w:eastAsia="仿宋" w:cs="仿宋_GB2312"/>
          <w:sz w:val="24"/>
          <w:highlight w:val="none"/>
        </w:rPr>
        <w:t>（3）投标保证金汇款凭证复印件必须内附在投标文件中。</w:t>
      </w:r>
      <w:r>
        <w:rPr>
          <w:rFonts w:hint="eastAsia" w:ascii="仿宋" w:hAnsi="仿宋" w:eastAsia="仿宋" w:cs="仿宋_GB2312"/>
          <w:b/>
          <w:bCs/>
          <w:sz w:val="24"/>
          <w:highlight w:val="none"/>
        </w:rPr>
        <w:t>无投标保证金或投标保证金汇款凭证复印件未内附在投标文件中的，视为无效投标。</w:t>
      </w:r>
    </w:p>
    <w:p w14:paraId="4D40BB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rPr>
        <w:t>（4）投标人的所有报价文件，除《法定代表人授权书》中的法定代表人签名、投标廉洁承诺书中的承诺人签字、报价单中的法定代表人或授权委托人签名须手写以外，其他填写的内容均为加盖投标公章（原章）的打印件。</w:t>
      </w:r>
      <w:r>
        <w:rPr>
          <w:rFonts w:hint="eastAsia" w:ascii="仿宋" w:hAnsi="仿宋" w:eastAsia="仿宋" w:cs="仿宋_GB2312"/>
          <w:b/>
          <w:bCs/>
          <w:sz w:val="24"/>
          <w:highlight w:val="none"/>
        </w:rPr>
        <w:t>以上事项不符合要求的视为无效投标。</w:t>
      </w:r>
    </w:p>
    <w:p w14:paraId="6F3E630E">
      <w:pPr>
        <w:spacing w:line="360" w:lineRule="auto"/>
        <w:ind w:firstLine="547" w:firstLineChars="228"/>
        <w:rPr>
          <w:rFonts w:ascii="仿宋" w:hAnsi="仿宋" w:eastAsia="仿宋" w:cs="仿宋_GB2312"/>
          <w:sz w:val="24"/>
          <w:highlight w:val="none"/>
        </w:rPr>
      </w:pPr>
      <w:r>
        <w:rPr>
          <w:rFonts w:hint="eastAsia" w:ascii="仿宋" w:hAnsi="仿宋" w:eastAsia="仿宋" w:cs="仿宋_GB2312"/>
          <w:sz w:val="24"/>
          <w:highlight w:val="none"/>
        </w:rPr>
        <w:t>（5）装订要求</w:t>
      </w:r>
    </w:p>
    <w:p w14:paraId="1BC9D406">
      <w:pPr>
        <w:spacing w:line="360" w:lineRule="auto"/>
        <w:ind w:firstLine="484" w:firstLineChars="202"/>
        <w:rPr>
          <w:rFonts w:ascii="仿宋" w:hAnsi="仿宋" w:eastAsia="仿宋" w:cs="仿宋_GB2312"/>
          <w:sz w:val="24"/>
          <w:highlight w:val="none"/>
        </w:rPr>
      </w:pPr>
      <w:r>
        <w:rPr>
          <w:rFonts w:hint="eastAsia" w:ascii="仿宋" w:hAnsi="仿宋" w:eastAsia="仿宋" w:cs="仿宋_GB2312"/>
          <w:sz w:val="24"/>
          <w:highlight w:val="none"/>
          <w:u w:val="single"/>
        </w:rPr>
        <w:t>密封袋封口处应密封严实，并应加盖投标人公章。未按装订要求装订的，招标单位不负责相关保密要求，</w:t>
      </w:r>
      <w:r>
        <w:rPr>
          <w:rFonts w:hint="eastAsia" w:ascii="仿宋" w:hAnsi="仿宋" w:eastAsia="仿宋" w:cs="仿宋_GB2312"/>
          <w:b/>
          <w:bCs/>
          <w:sz w:val="24"/>
          <w:highlight w:val="none"/>
          <w:u w:val="single"/>
        </w:rPr>
        <w:t>同时视为无效投标</w:t>
      </w:r>
      <w:r>
        <w:rPr>
          <w:rFonts w:hint="eastAsia" w:ascii="仿宋" w:hAnsi="仿宋" w:eastAsia="仿宋" w:cs="仿宋_GB2312"/>
          <w:sz w:val="24"/>
          <w:highlight w:val="none"/>
          <w:u w:val="single"/>
        </w:rPr>
        <w:t>。</w:t>
      </w:r>
    </w:p>
    <w:p w14:paraId="7A6D4CBF">
      <w:pPr>
        <w:numPr>
          <w:ilvl w:val="0"/>
          <w:numId w:val="2"/>
        </w:num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结算数量</w:t>
      </w:r>
    </w:p>
    <w:p w14:paraId="6A04B444">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（1）以招标人现场签字验收的收货单数量为准，</w:t>
      </w:r>
    </w:p>
    <w:p w14:paraId="7160591C">
      <w:pPr>
        <w:spacing w:line="360" w:lineRule="auto"/>
        <w:ind w:firstLine="480" w:firstLineChars="200"/>
        <w:rPr>
          <w:rFonts w:hint="eastAsia" w:ascii="仿宋" w:hAnsi="仿宋" w:eastAsia="仿宋" w:cs="仿宋_GB2312"/>
          <w:sz w:val="24"/>
          <w:highlight w:val="none"/>
          <w:lang w:eastAsia="zh-CN"/>
        </w:rPr>
      </w:pPr>
      <w:r>
        <w:rPr>
          <w:rFonts w:hint="eastAsia" w:ascii="仿宋" w:hAnsi="仿宋" w:eastAsia="仿宋" w:cs="仿宋_GB2312"/>
          <w:sz w:val="24"/>
          <w:highlight w:val="none"/>
        </w:rPr>
        <w:t>（2）涉及过磅材料，招标人有抽磅的权利，如抽磅数量与送货单数量负误差超过千分之三，以招标人抽磅数量结算且扣除该车50%货款，如发生三次以上，招标人有权解除合同。</w:t>
      </w:r>
    </w:p>
    <w:p w14:paraId="475548CE">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7、结算价格</w:t>
      </w:r>
    </w:p>
    <w:p w14:paraId="6B4A41C9">
      <w:pPr>
        <w:spacing w:line="360" w:lineRule="auto"/>
        <w:ind w:firstLine="480" w:firstLineChars="200"/>
        <w:rPr>
          <w:rFonts w:hint="eastAsia" w:ascii="仿宋" w:hAnsi="仿宋" w:eastAsia="仿宋" w:cs="仿宋"/>
          <w:spacing w:val="-17"/>
          <w:sz w:val="24"/>
          <w:szCs w:val="24"/>
          <w:highlight w:val="none"/>
        </w:rPr>
      </w:pPr>
      <w:r>
        <w:rPr>
          <w:rFonts w:hint="eastAsia" w:ascii="仿宋" w:hAnsi="仿宋" w:eastAsia="仿宋" w:cs="仿宋_GB2312"/>
          <w:sz w:val="24"/>
          <w:highlight w:val="none"/>
          <w:u w:val="single"/>
        </w:rPr>
        <w:t>各</w:t>
      </w:r>
      <w:r>
        <w:rPr>
          <w:rFonts w:hint="eastAsia" w:ascii="仿宋" w:hAnsi="仿宋" w:eastAsia="仿宋" w:cs="仿宋"/>
          <w:sz w:val="24"/>
          <w:szCs w:val="24"/>
          <w:highlight w:val="none"/>
          <w:u w:val="single"/>
        </w:rPr>
        <w:t>投标单位报价须谨慎，一旦中标不得以任何理由变更报价</w:t>
      </w:r>
      <w:r>
        <w:rPr>
          <w:rFonts w:hint="eastAsia" w:ascii="仿宋" w:hAnsi="仿宋" w:eastAsia="仿宋" w:cs="仿宋"/>
          <w:spacing w:val="-17"/>
          <w:sz w:val="24"/>
          <w:szCs w:val="24"/>
          <w:highlight w:val="none"/>
          <w:u w:val="single"/>
        </w:rPr>
        <w:t>。</w:t>
      </w:r>
    </w:p>
    <w:p w14:paraId="45B4B854">
      <w:pPr>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8、</w:t>
      </w:r>
      <w:r>
        <w:rPr>
          <w:rFonts w:hint="eastAsia" w:ascii="仿宋" w:hAnsi="仿宋" w:eastAsia="仿宋" w:cs="仿宋"/>
          <w:sz w:val="24"/>
          <w:szCs w:val="24"/>
        </w:rPr>
        <w:t>合同签订和付款方式</w:t>
      </w:r>
    </w:p>
    <w:p w14:paraId="2AEAF83A">
      <w:pPr>
        <w:spacing w:line="360" w:lineRule="auto"/>
        <w:ind w:firstLine="480" w:firstLineChars="200"/>
        <w:rPr>
          <w:rFonts w:hint="eastAsia" w:ascii="仿宋" w:hAnsi="仿宋" w:eastAsia="仿宋" w:cs="仿宋"/>
          <w:b/>
          <w:sz w:val="24"/>
          <w:szCs w:val="24"/>
          <w:highlight w:val="none"/>
          <w:u w:val="single"/>
          <w:lang w:eastAsia="zh-CN"/>
        </w:rPr>
      </w:pPr>
      <w:r>
        <w:rPr>
          <w:rFonts w:hint="eastAsia" w:ascii="仿宋" w:hAnsi="仿宋" w:eastAsia="仿宋" w:cs="仿宋"/>
          <w:sz w:val="24"/>
          <w:szCs w:val="24"/>
          <w:u w:val="single"/>
        </w:rPr>
        <w:t>中标单位与铜冠建</w:t>
      </w:r>
      <w:r>
        <w:rPr>
          <w:rFonts w:hint="eastAsia" w:ascii="仿宋" w:hAnsi="仿宋" w:eastAsia="仿宋" w:cs="仿宋"/>
          <w:sz w:val="24"/>
          <w:szCs w:val="24"/>
          <w:u w:val="single"/>
          <w:lang w:eastAsia="zh-CN"/>
        </w:rPr>
        <w:t>安</w:t>
      </w:r>
      <w:r>
        <w:rPr>
          <w:rFonts w:hint="eastAsia" w:ascii="仿宋" w:hAnsi="仿宋" w:eastAsia="仿宋" w:cs="仿宋"/>
          <w:sz w:val="24"/>
          <w:szCs w:val="24"/>
          <w:u w:val="single"/>
        </w:rPr>
        <w:t>公司签订两方合同。</w:t>
      </w:r>
      <w:r>
        <w:rPr>
          <w:rFonts w:hint="eastAsia" w:ascii="仿宋" w:hAnsi="仿宋" w:eastAsia="仿宋" w:cs="仿宋"/>
          <w:sz w:val="24"/>
          <w:szCs w:val="24"/>
          <w:highlight w:val="none"/>
          <w:u w:val="single"/>
        </w:rPr>
        <w:t>付款方式:</w:t>
      </w:r>
      <w:r>
        <w:rPr>
          <w:rFonts w:hint="eastAsia" w:ascii="仿宋" w:hAnsi="仿宋" w:eastAsia="仿宋" w:cs="仿宋"/>
          <w:sz w:val="24"/>
          <w:szCs w:val="24"/>
          <w:highlight w:val="none"/>
          <w:u w:val="single"/>
          <w:lang w:eastAsia="zh-CN"/>
        </w:rPr>
        <w:t>发票</w:t>
      </w:r>
      <w:r>
        <w:rPr>
          <w:rFonts w:hint="eastAsia" w:ascii="仿宋" w:hAnsi="仿宋" w:eastAsia="仿宋" w:cs="仿宋"/>
          <w:sz w:val="24"/>
          <w:szCs w:val="24"/>
          <w:highlight w:val="none"/>
          <w:u w:val="single"/>
        </w:rPr>
        <w:t>入账次月支付</w:t>
      </w:r>
      <w:r>
        <w:rPr>
          <w:rFonts w:hint="eastAsia" w:ascii="仿宋" w:hAnsi="仿宋" w:eastAsia="仿宋" w:cs="仿宋"/>
          <w:sz w:val="24"/>
          <w:szCs w:val="24"/>
          <w:highlight w:val="none"/>
          <w:u w:val="single"/>
          <w:lang w:val="en-US" w:eastAsia="zh-CN"/>
        </w:rPr>
        <w:t>发票总金额</w:t>
      </w:r>
      <w:r>
        <w:rPr>
          <w:rFonts w:hint="eastAsia" w:ascii="仿宋" w:hAnsi="仿宋" w:eastAsia="仿宋" w:cs="仿宋"/>
          <w:sz w:val="24"/>
          <w:szCs w:val="24"/>
          <w:highlight w:val="none"/>
          <w:u w:val="single"/>
        </w:rPr>
        <w:t>的</w:t>
      </w:r>
      <w:r>
        <w:rPr>
          <w:rFonts w:hint="eastAsia" w:ascii="仿宋" w:hAnsi="仿宋" w:eastAsia="仿宋" w:cs="仿宋"/>
          <w:sz w:val="24"/>
          <w:szCs w:val="24"/>
          <w:highlight w:val="none"/>
          <w:u w:val="single"/>
          <w:lang w:val="en-US" w:eastAsia="zh-CN"/>
        </w:rPr>
        <w:t>10</w:t>
      </w:r>
      <w:r>
        <w:rPr>
          <w:rFonts w:hint="eastAsia" w:ascii="仿宋" w:hAnsi="仿宋" w:eastAsia="仿宋" w:cs="仿宋"/>
          <w:sz w:val="24"/>
          <w:szCs w:val="24"/>
          <w:highlight w:val="none"/>
          <w:u w:val="single"/>
        </w:rPr>
        <w:t>0%。货款以对公转账方式支付至乙方对公账户，</w:t>
      </w:r>
      <w:r>
        <w:rPr>
          <w:rFonts w:hint="eastAsia" w:ascii="仿宋" w:hAnsi="仿宋" w:eastAsia="仿宋" w:cs="仿宋"/>
          <w:color w:val="171A1D"/>
          <w:sz w:val="24"/>
          <w:highlight w:val="none"/>
          <w:u w:val="single"/>
          <w:shd w:val="clear" w:color="auto" w:fill="FFFFFF"/>
        </w:rPr>
        <w:t>支付发票总金额</w:t>
      </w:r>
      <w:r>
        <w:rPr>
          <w:rFonts w:hint="eastAsia" w:ascii="仿宋" w:hAnsi="仿宋" w:eastAsia="仿宋" w:cs="仿宋"/>
          <w:color w:val="171A1D"/>
          <w:sz w:val="24"/>
          <w:highlight w:val="none"/>
          <w:u w:val="single"/>
          <w:shd w:val="clear" w:color="auto" w:fill="FFFFFF"/>
          <w:lang w:val="en-US" w:eastAsia="zh-CN"/>
        </w:rPr>
        <w:t>10</w:t>
      </w:r>
      <w:r>
        <w:rPr>
          <w:rFonts w:hint="eastAsia" w:ascii="仿宋" w:hAnsi="仿宋" w:eastAsia="仿宋" w:cs="仿宋"/>
          <w:color w:val="171A1D"/>
          <w:sz w:val="24"/>
          <w:highlight w:val="none"/>
          <w:u w:val="single"/>
          <w:shd w:val="clear" w:color="auto" w:fill="FFFFFF"/>
        </w:rPr>
        <w:t>0%的</w:t>
      </w:r>
      <w:r>
        <w:rPr>
          <w:rFonts w:hint="eastAsia" w:ascii="仿宋" w:hAnsi="仿宋" w:eastAsia="仿宋" w:cs="仿宋"/>
          <w:color w:val="171A1D"/>
          <w:sz w:val="24"/>
          <w:highlight w:val="none"/>
          <w:u w:val="single"/>
          <w:shd w:val="clear" w:color="auto" w:fill="FFFFFF"/>
          <w:lang w:val="en-US" w:eastAsia="zh-CN"/>
        </w:rPr>
        <w:t>现汇</w:t>
      </w:r>
      <w:r>
        <w:rPr>
          <w:rFonts w:hint="eastAsia" w:ascii="仿宋" w:hAnsi="仿宋" w:eastAsia="仿宋" w:cs="仿宋"/>
          <w:color w:val="171A1D"/>
          <w:sz w:val="24"/>
          <w:szCs w:val="24"/>
          <w:highlight w:val="none"/>
          <w:u w:val="single"/>
          <w:shd w:val="clear" w:color="auto" w:fill="FFFFFF"/>
          <w:lang w:eastAsia="zh-CN"/>
        </w:rPr>
        <w:t>。</w:t>
      </w:r>
    </w:p>
    <w:p w14:paraId="41D0B46E">
      <w:pPr>
        <w:numPr>
          <w:ilvl w:val="0"/>
          <w:numId w:val="0"/>
        </w:numPr>
        <w:spacing w:line="360" w:lineRule="auto"/>
        <w:rPr>
          <w:rFonts w:hint="eastAsia" w:ascii="仿宋" w:hAnsi="仿宋" w:eastAsia="仿宋" w:cs="仿宋"/>
          <w:b/>
          <w:sz w:val="24"/>
          <w:szCs w:val="24"/>
          <w:highlight w:val="none"/>
        </w:rPr>
      </w:pPr>
    </w:p>
    <w:p w14:paraId="62FCCF16">
      <w:pPr>
        <w:numPr>
          <w:ilvl w:val="0"/>
          <w:numId w:val="0"/>
        </w:numPr>
        <w:spacing w:line="360" w:lineRule="auto"/>
        <w:rPr>
          <w:rFonts w:hint="eastAsia" w:ascii="仿宋" w:hAnsi="仿宋" w:eastAsia="仿宋" w:cs="仿宋"/>
          <w:b/>
          <w:sz w:val="24"/>
          <w:szCs w:val="24"/>
          <w:highlight w:val="none"/>
        </w:rPr>
      </w:pPr>
    </w:p>
    <w:p w14:paraId="607A04D8">
      <w:pPr>
        <w:pStyle w:val="2"/>
        <w:rPr>
          <w:rFonts w:hint="eastAsia"/>
        </w:rPr>
      </w:pPr>
    </w:p>
    <w:p w14:paraId="004D7902">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九、评标及中标履约要求</w:t>
      </w:r>
    </w:p>
    <w:p w14:paraId="1A26FE41">
      <w:pPr>
        <w:spacing w:line="360" w:lineRule="auto"/>
        <w:rPr>
          <w:rFonts w:ascii="仿宋" w:hAnsi="仿宋" w:eastAsia="仿宋" w:cs="仿宋_GB2312"/>
          <w:b/>
          <w:sz w:val="24"/>
          <w:highlight w:val="none"/>
        </w:rPr>
      </w:pPr>
    </w:p>
    <w:p w14:paraId="1A00BC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1、评标由铜冠建安公司纪委随机临时确定评委并组建的评标委员会负责。</w:t>
      </w:r>
    </w:p>
    <w:p w14:paraId="45FBDBD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2、评标原则：评标活动遵循公平、公正、科学和择优的原则。</w:t>
      </w:r>
    </w:p>
    <w:p w14:paraId="10E22C45">
      <w:pPr>
        <w:spacing w:line="360" w:lineRule="auto"/>
        <w:ind w:firstLine="480" w:firstLineChars="200"/>
        <w:rPr>
          <w:rFonts w:hint="eastAsia" w:ascii="仿宋" w:hAnsi="仿宋" w:eastAsia="仿宋" w:cs="仿宋"/>
          <w:sz w:val="24"/>
          <w:szCs w:val="24"/>
          <w:u w:val="single"/>
          <w:lang w:eastAsia="zh-CN"/>
        </w:rPr>
      </w:pPr>
      <w:r>
        <w:rPr>
          <w:rFonts w:hint="eastAsia" w:ascii="仿宋" w:hAnsi="仿宋" w:eastAsia="仿宋" w:cs="仿宋"/>
          <w:sz w:val="24"/>
          <w:szCs w:val="24"/>
        </w:rPr>
        <w:t>3、评标：</w:t>
      </w:r>
      <w:r>
        <w:rPr>
          <w:rFonts w:hint="eastAsia" w:ascii="仿宋" w:hAnsi="仿宋" w:eastAsia="仿宋" w:cs="仿宋"/>
          <w:sz w:val="24"/>
          <w:szCs w:val="24"/>
          <w:u w:val="single"/>
        </w:rPr>
        <w:t>本次评标以价格为评标依据，采取“合理低价法”评标。即以经评委会审核，剔除偏离市场行情较大的恶意报价后的报价进行排序，其中价格最低的报价单位为预中标单位</w:t>
      </w:r>
      <w:r>
        <w:rPr>
          <w:rFonts w:hint="eastAsia" w:ascii="仿宋" w:hAnsi="仿宋" w:eastAsia="仿宋" w:cs="仿宋"/>
          <w:sz w:val="24"/>
          <w:szCs w:val="24"/>
          <w:u w:val="single"/>
          <w:lang w:eastAsia="zh-CN"/>
        </w:rPr>
        <w:t>。</w:t>
      </w:r>
    </w:p>
    <w:p w14:paraId="3E81B49E">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4、中标候选人推荐：</w:t>
      </w:r>
      <w:r>
        <w:rPr>
          <w:rFonts w:hint="eastAsia" w:ascii="仿宋" w:hAnsi="仿宋" w:eastAsia="仿宋" w:cs="仿宋"/>
          <w:sz w:val="24"/>
          <w:szCs w:val="24"/>
          <w:u w:val="single"/>
        </w:rPr>
        <w:t>评标委员会依据评标结果推荐一名中标候选人。</w:t>
      </w:r>
    </w:p>
    <w:p w14:paraId="704C6A9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5、中标通知：</w:t>
      </w:r>
      <w:r>
        <w:rPr>
          <w:rFonts w:hint="eastAsia" w:ascii="仿宋" w:hAnsi="仿宋" w:eastAsia="仿宋" w:cs="仿宋"/>
          <w:sz w:val="24"/>
          <w:szCs w:val="24"/>
          <w:lang w:val="en-US" w:eastAsia="zh-CN"/>
        </w:rPr>
        <w:t>买方</w:t>
      </w:r>
      <w:r>
        <w:rPr>
          <w:rFonts w:hint="eastAsia" w:ascii="仿宋" w:hAnsi="仿宋" w:eastAsia="仿宋" w:cs="仿宋"/>
          <w:sz w:val="24"/>
          <w:szCs w:val="24"/>
        </w:rPr>
        <w:t>以书面形式向中标人发出中标通知书。</w:t>
      </w:r>
    </w:p>
    <w:p w14:paraId="5405D53B">
      <w:pPr>
        <w:spacing w:line="360" w:lineRule="auto"/>
        <w:ind w:firstLine="480" w:firstLineChars="200"/>
        <w:rPr>
          <w:rFonts w:ascii="仿宋" w:hAnsi="仿宋" w:eastAsia="仿宋" w:cs="仿宋_GB2312"/>
          <w:sz w:val="24"/>
          <w:highlight w:val="none"/>
        </w:rPr>
      </w:pPr>
      <w:r>
        <w:rPr>
          <w:rFonts w:hint="eastAsia" w:ascii="仿宋" w:hAnsi="仿宋" w:eastAsia="仿宋" w:cs="仿宋"/>
          <w:sz w:val="24"/>
          <w:szCs w:val="24"/>
        </w:rPr>
        <w:t>6、</w:t>
      </w:r>
      <w:r>
        <w:rPr>
          <w:rFonts w:hint="eastAsia" w:ascii="仿宋" w:hAnsi="仿宋" w:eastAsia="仿宋" w:cs="仿宋"/>
          <w:sz w:val="24"/>
          <w:szCs w:val="24"/>
          <w:lang w:val="en-US" w:eastAsia="zh-CN"/>
        </w:rPr>
        <w:t>买方</w:t>
      </w:r>
      <w:r>
        <w:rPr>
          <w:rFonts w:hint="eastAsia" w:ascii="仿宋" w:hAnsi="仿宋" w:eastAsia="仿宋" w:cs="仿宋"/>
          <w:sz w:val="24"/>
          <w:szCs w:val="24"/>
        </w:rPr>
        <w:t>和中标人应当自中标通知书发出之日起三十日内，按照招标文件和中标人的投标文件订立书面合同，招标人和中标人不得再行订立背离本次招标实质性内容的其他协议</w:t>
      </w:r>
      <w:r>
        <w:rPr>
          <w:rFonts w:hint="eastAsia" w:ascii="仿宋" w:hAnsi="仿宋" w:eastAsia="仿宋" w:cs="仿宋_GB2312"/>
          <w:sz w:val="24"/>
          <w:highlight w:val="none"/>
        </w:rPr>
        <w:t>。</w:t>
      </w:r>
    </w:p>
    <w:p w14:paraId="796F325C">
      <w:pPr>
        <w:spacing w:line="360" w:lineRule="auto"/>
        <w:rPr>
          <w:rFonts w:ascii="仿宋" w:hAnsi="仿宋" w:eastAsia="仿宋" w:cs="仿宋_GB2312"/>
          <w:b/>
          <w:sz w:val="24"/>
          <w:highlight w:val="none"/>
        </w:rPr>
      </w:pPr>
    </w:p>
    <w:p w14:paraId="394C8939">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十、纪律和监督</w:t>
      </w:r>
    </w:p>
    <w:p w14:paraId="5F02B9A2">
      <w:pPr>
        <w:spacing w:line="360" w:lineRule="auto"/>
        <w:ind w:firstLine="480" w:firstLineChars="200"/>
        <w:rPr>
          <w:rFonts w:ascii="仿宋" w:hAnsi="仿宋" w:eastAsia="仿宋" w:cs="仿宋_GB2312"/>
          <w:sz w:val="24"/>
          <w:highlight w:val="none"/>
        </w:rPr>
      </w:pPr>
    </w:p>
    <w:p w14:paraId="7EDA716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1、对招标人的纪律要求：招标人不得泄漏招标投标活动中应当保密的情况和资料，不得与投标人串通损害公司利益或者他人合法权益。</w:t>
      </w:r>
    </w:p>
    <w:p w14:paraId="7E15A356">
      <w:pPr>
        <w:spacing w:line="360" w:lineRule="auto"/>
        <w:ind w:firstLine="480" w:firstLineChars="200"/>
        <w:rPr>
          <w:rFonts w:ascii="仿宋" w:hAnsi="仿宋" w:eastAsia="仿宋" w:cs="仿宋_GB2312"/>
          <w:sz w:val="24"/>
          <w:highlight w:val="none"/>
          <w:u w:val="single"/>
        </w:rPr>
      </w:pPr>
      <w:r>
        <w:rPr>
          <w:rFonts w:hint="eastAsia" w:ascii="仿宋" w:hAnsi="仿宋" w:eastAsia="仿宋" w:cs="仿宋_GB2312"/>
          <w:sz w:val="24"/>
          <w:highlight w:val="none"/>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4"/>
          <w:highlight w:val="none"/>
          <w:u w:val="single"/>
        </w:rPr>
        <w:t>一经确认将取消其今后参加铜冠建安公司招标的资格，列入供应商黑名单。</w:t>
      </w:r>
    </w:p>
    <w:p w14:paraId="56BA716F">
      <w:pPr>
        <w:spacing w:line="360" w:lineRule="auto"/>
        <w:jc w:val="center"/>
        <w:rPr>
          <w:rFonts w:hint="eastAsia" w:ascii="仿宋" w:hAnsi="仿宋" w:eastAsia="仿宋" w:cs="仿宋_GB2312"/>
          <w:b/>
          <w:sz w:val="24"/>
          <w:highlight w:val="none"/>
        </w:rPr>
      </w:pPr>
    </w:p>
    <w:p w14:paraId="60107016">
      <w:pPr>
        <w:spacing w:line="360" w:lineRule="auto"/>
        <w:jc w:val="center"/>
        <w:rPr>
          <w:rFonts w:hint="eastAsia" w:ascii="仿宋" w:hAnsi="仿宋" w:eastAsia="仿宋" w:cs="仿宋_GB2312"/>
          <w:b/>
          <w:sz w:val="24"/>
          <w:highlight w:val="none"/>
        </w:rPr>
      </w:pPr>
    </w:p>
    <w:p w14:paraId="7952AE3D">
      <w:pPr>
        <w:spacing w:line="360" w:lineRule="auto"/>
        <w:jc w:val="center"/>
        <w:rPr>
          <w:rFonts w:hint="eastAsia" w:ascii="仿宋" w:hAnsi="仿宋" w:eastAsia="仿宋" w:cs="仿宋_GB2312"/>
          <w:b/>
          <w:sz w:val="24"/>
          <w:highlight w:val="none"/>
        </w:rPr>
      </w:pPr>
    </w:p>
    <w:p w14:paraId="68F64115">
      <w:pPr>
        <w:spacing w:line="360" w:lineRule="auto"/>
        <w:jc w:val="center"/>
        <w:rPr>
          <w:rFonts w:hint="eastAsia" w:ascii="仿宋" w:hAnsi="仿宋" w:eastAsia="仿宋" w:cs="仿宋_GB2312"/>
          <w:b/>
          <w:sz w:val="24"/>
          <w:highlight w:val="none"/>
        </w:rPr>
      </w:pPr>
    </w:p>
    <w:p w14:paraId="5968DE98">
      <w:pPr>
        <w:spacing w:line="360" w:lineRule="auto"/>
        <w:jc w:val="center"/>
        <w:rPr>
          <w:rFonts w:hint="eastAsia" w:ascii="仿宋" w:hAnsi="仿宋" w:eastAsia="仿宋" w:cs="仿宋_GB2312"/>
          <w:b/>
          <w:sz w:val="24"/>
          <w:highlight w:val="none"/>
        </w:rPr>
      </w:pPr>
    </w:p>
    <w:p w14:paraId="3C870D36">
      <w:pPr>
        <w:pStyle w:val="2"/>
        <w:rPr>
          <w:rFonts w:hint="eastAsia"/>
        </w:rPr>
      </w:pPr>
    </w:p>
    <w:p w14:paraId="4A20EF08">
      <w:pPr>
        <w:spacing w:line="360" w:lineRule="auto"/>
        <w:jc w:val="center"/>
        <w:rPr>
          <w:rFonts w:hint="eastAsia" w:ascii="仿宋" w:hAnsi="仿宋" w:eastAsia="仿宋" w:cs="仿宋_GB2312"/>
          <w:b/>
          <w:sz w:val="24"/>
          <w:highlight w:val="none"/>
        </w:rPr>
      </w:pPr>
    </w:p>
    <w:p w14:paraId="023A8C01">
      <w:pPr>
        <w:spacing w:line="360" w:lineRule="auto"/>
        <w:jc w:val="center"/>
        <w:rPr>
          <w:rFonts w:hint="eastAsia" w:ascii="仿宋" w:hAnsi="仿宋" w:eastAsia="仿宋" w:cs="仿宋_GB2312"/>
          <w:b/>
          <w:sz w:val="24"/>
          <w:highlight w:val="none"/>
        </w:rPr>
      </w:pPr>
    </w:p>
    <w:p w14:paraId="77641D5F">
      <w:pPr>
        <w:spacing w:line="360" w:lineRule="auto"/>
        <w:jc w:val="center"/>
        <w:rPr>
          <w:rFonts w:hint="eastAsia" w:ascii="仿宋" w:hAnsi="仿宋" w:eastAsia="仿宋" w:cs="仿宋_GB2312"/>
          <w:b/>
          <w:sz w:val="24"/>
          <w:highlight w:val="none"/>
        </w:rPr>
      </w:pPr>
    </w:p>
    <w:p w14:paraId="74E023A8">
      <w:pPr>
        <w:spacing w:line="360" w:lineRule="auto"/>
        <w:jc w:val="center"/>
        <w:rPr>
          <w:rFonts w:ascii="仿宋" w:hAnsi="仿宋" w:eastAsia="仿宋" w:cs="仿宋_GB2312"/>
          <w:b/>
          <w:sz w:val="24"/>
          <w:highlight w:val="none"/>
        </w:rPr>
      </w:pPr>
      <w:r>
        <w:rPr>
          <w:rFonts w:hint="eastAsia" w:ascii="仿宋" w:hAnsi="仿宋" w:eastAsia="仿宋" w:cs="仿宋_GB2312"/>
          <w:b/>
          <w:sz w:val="24"/>
          <w:highlight w:val="none"/>
        </w:rPr>
        <w:t>十一、法定代表人授权书</w:t>
      </w:r>
    </w:p>
    <w:p w14:paraId="3BE224FE">
      <w:pPr>
        <w:pStyle w:val="20"/>
        <w:spacing w:line="360" w:lineRule="auto"/>
        <w:rPr>
          <w:rFonts w:ascii="仿宋" w:hAnsi="仿宋" w:eastAsia="仿宋"/>
          <w:highlight w:val="none"/>
        </w:rPr>
      </w:pPr>
    </w:p>
    <w:p w14:paraId="317C3C78">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声明：我（姓名）系（单位名称）的法定代表人，身份证号___________________，现授权委托（单位名称）（被授权委托人姓名）为本公司代表人，就（招标编号）的（招标产品）投标，以本公司名义处理一切与之有关的事务。</w:t>
      </w:r>
    </w:p>
    <w:p w14:paraId="43415E1B">
      <w:pPr>
        <w:spacing w:beforeLines="50" w:afterLines="50" w:line="360" w:lineRule="auto"/>
        <w:ind w:firstLine="480" w:firstLineChars="200"/>
        <w:rPr>
          <w:rFonts w:ascii="仿宋" w:hAnsi="仿宋" w:eastAsia="仿宋"/>
          <w:sz w:val="24"/>
          <w:highlight w:val="none"/>
        </w:rPr>
      </w:pPr>
    </w:p>
    <w:p w14:paraId="121B702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本授权书于______年___月___日签字生效，特此声明。</w:t>
      </w:r>
    </w:p>
    <w:p w14:paraId="652E1168">
      <w:pPr>
        <w:spacing w:line="360" w:lineRule="auto"/>
        <w:ind w:firstLine="480" w:firstLineChars="200"/>
        <w:rPr>
          <w:rFonts w:ascii="仿宋" w:hAnsi="仿宋" w:eastAsia="仿宋" w:cs="仿宋_GB2312"/>
          <w:sz w:val="24"/>
          <w:highlight w:val="none"/>
        </w:rPr>
      </w:pPr>
    </w:p>
    <w:p w14:paraId="252C7FEC">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代理人情况：</w:t>
      </w:r>
    </w:p>
    <w:p w14:paraId="44E2B618">
      <w:pPr>
        <w:spacing w:line="360" w:lineRule="auto"/>
        <w:ind w:firstLine="480" w:firstLineChars="200"/>
        <w:rPr>
          <w:rFonts w:ascii="仿宋" w:hAnsi="仿宋" w:eastAsia="仿宋" w:cs="仿宋_GB2312"/>
          <w:sz w:val="24"/>
          <w:highlight w:val="none"/>
        </w:rPr>
      </w:pPr>
    </w:p>
    <w:p w14:paraId="55ABA7A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姓名：__________________   身份证号：____________________</w:t>
      </w:r>
    </w:p>
    <w:p w14:paraId="75B88452">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地址：__________________   邮    编：_____________________</w:t>
      </w:r>
    </w:p>
    <w:p w14:paraId="50C2B98F">
      <w:pPr>
        <w:spacing w:line="360" w:lineRule="auto"/>
        <w:ind w:firstLine="480" w:firstLineChars="200"/>
        <w:rPr>
          <w:rFonts w:ascii="仿宋" w:hAnsi="仿宋" w:eastAsia="仿宋" w:cs="仿宋_GB2312"/>
          <w:sz w:val="24"/>
          <w:highlight w:val="none"/>
        </w:rPr>
      </w:pPr>
      <w:r>
        <w:rPr>
          <w:rFonts w:hint="eastAsia" w:ascii="仿宋" w:hAnsi="仿宋" w:eastAsia="仿宋" w:cs="仿宋_GB2312"/>
          <w:sz w:val="24"/>
          <w:highlight w:val="none"/>
        </w:rPr>
        <w:t>电话：__________________   传    真：_____________________</w:t>
      </w:r>
    </w:p>
    <w:p w14:paraId="3CC63ADB">
      <w:pPr>
        <w:spacing w:line="360" w:lineRule="auto"/>
        <w:ind w:firstLine="480" w:firstLineChars="200"/>
        <w:rPr>
          <w:rFonts w:ascii="仿宋" w:hAnsi="仿宋" w:eastAsia="仿宋" w:cs="仿宋_GB2312"/>
          <w:sz w:val="24"/>
          <w:highlight w:val="none"/>
        </w:rPr>
      </w:pPr>
    </w:p>
    <w:p w14:paraId="0AD99B1C">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法定代表人签字：</w:t>
      </w:r>
    </w:p>
    <w:p w14:paraId="708332FD">
      <w:pPr>
        <w:spacing w:line="360" w:lineRule="auto"/>
        <w:ind w:firstLine="4800" w:firstLineChars="2000"/>
        <w:rPr>
          <w:rFonts w:ascii="仿宋" w:hAnsi="仿宋" w:eastAsia="仿宋" w:cs="仿宋_GB2312"/>
          <w:sz w:val="24"/>
          <w:highlight w:val="none"/>
        </w:rPr>
      </w:pPr>
      <w:r>
        <w:rPr>
          <w:rFonts w:hint="eastAsia" w:ascii="仿宋" w:hAnsi="仿宋" w:eastAsia="仿宋" w:cs="仿宋_GB2312"/>
          <w:sz w:val="24"/>
          <w:highlight w:val="none"/>
        </w:rPr>
        <w:t>单  位  盖  章：</w:t>
      </w:r>
    </w:p>
    <w:p w14:paraId="5C98774C">
      <w:pPr>
        <w:spacing w:line="360" w:lineRule="auto"/>
        <w:ind w:firstLine="480" w:firstLineChars="200"/>
        <w:rPr>
          <w:rFonts w:ascii="仿宋" w:hAnsi="仿宋" w:eastAsia="仿宋" w:cs="仿宋_GB2312"/>
          <w:sz w:val="24"/>
          <w:highlight w:val="none"/>
        </w:rPr>
      </w:pPr>
    </w:p>
    <w:p w14:paraId="0565606C">
      <w:pPr>
        <w:spacing w:line="360" w:lineRule="auto"/>
        <w:ind w:firstLine="6240" w:firstLineChars="2600"/>
        <w:rPr>
          <w:rFonts w:ascii="仿宋" w:hAnsi="仿宋" w:eastAsia="仿宋" w:cs="仿宋_GB2312"/>
          <w:sz w:val="24"/>
          <w:highlight w:val="none"/>
        </w:rPr>
      </w:pPr>
      <w:r>
        <w:rPr>
          <w:rFonts w:hint="eastAsia" w:ascii="仿宋" w:hAnsi="仿宋" w:eastAsia="仿宋" w:cs="仿宋_GB2312"/>
          <w:sz w:val="24"/>
          <w:highlight w:val="none"/>
        </w:rPr>
        <w:t>年  月  日</w:t>
      </w:r>
    </w:p>
    <w:p w14:paraId="55EF4EE1">
      <w:pPr>
        <w:spacing w:line="360" w:lineRule="auto"/>
        <w:rPr>
          <w:rFonts w:ascii="仿宋" w:hAnsi="仿宋" w:eastAsia="仿宋" w:cs="仿宋_GB2312"/>
          <w:b/>
          <w:sz w:val="24"/>
          <w:highlight w:val="none"/>
        </w:rPr>
      </w:pPr>
    </w:p>
    <w:p w14:paraId="7E4D9F77">
      <w:pPr>
        <w:spacing w:line="360" w:lineRule="auto"/>
        <w:jc w:val="center"/>
        <w:rPr>
          <w:rFonts w:ascii="仿宋" w:hAnsi="仿宋" w:eastAsia="仿宋" w:cs="仿宋_GB2312"/>
          <w:b/>
          <w:sz w:val="24"/>
          <w:highlight w:val="none"/>
        </w:rPr>
      </w:pPr>
    </w:p>
    <w:p w14:paraId="1C2F90B8">
      <w:pPr>
        <w:spacing w:line="360" w:lineRule="auto"/>
        <w:rPr>
          <w:rFonts w:ascii="仿宋" w:hAnsi="仿宋" w:eastAsia="仿宋" w:cs="仿宋_GB2312"/>
          <w:b/>
          <w:sz w:val="24"/>
          <w:highlight w:val="none"/>
        </w:rPr>
      </w:pPr>
    </w:p>
    <w:p w14:paraId="1EFC3935">
      <w:pPr>
        <w:spacing w:line="360" w:lineRule="auto"/>
        <w:jc w:val="center"/>
        <w:rPr>
          <w:rFonts w:ascii="仿宋" w:hAnsi="仿宋" w:eastAsia="仿宋" w:cs="仿宋_GB2312"/>
          <w:b/>
          <w:sz w:val="24"/>
          <w:highlight w:val="none"/>
        </w:rPr>
      </w:pPr>
    </w:p>
    <w:p w14:paraId="66E8AF7F">
      <w:pPr>
        <w:spacing w:line="360" w:lineRule="auto"/>
        <w:jc w:val="center"/>
        <w:rPr>
          <w:rFonts w:ascii="仿宋" w:hAnsi="仿宋" w:eastAsia="仿宋" w:cs="仿宋_GB2312"/>
          <w:b/>
          <w:sz w:val="24"/>
          <w:highlight w:val="none"/>
        </w:rPr>
      </w:pPr>
    </w:p>
    <w:p w14:paraId="0C859286">
      <w:pPr>
        <w:spacing w:line="360" w:lineRule="auto"/>
        <w:jc w:val="center"/>
        <w:rPr>
          <w:rFonts w:ascii="仿宋" w:hAnsi="仿宋" w:eastAsia="仿宋" w:cs="仿宋_GB2312"/>
          <w:b/>
          <w:sz w:val="24"/>
          <w:highlight w:val="none"/>
        </w:rPr>
      </w:pPr>
    </w:p>
    <w:p w14:paraId="06FC5DA5">
      <w:pPr>
        <w:spacing w:line="360" w:lineRule="auto"/>
        <w:jc w:val="center"/>
        <w:rPr>
          <w:rFonts w:ascii="仿宋" w:hAnsi="仿宋" w:eastAsia="仿宋" w:cs="仿宋_GB2312"/>
          <w:b/>
          <w:sz w:val="24"/>
          <w:highlight w:val="none"/>
        </w:rPr>
      </w:pPr>
    </w:p>
    <w:p w14:paraId="64C21676">
      <w:pPr>
        <w:spacing w:line="360" w:lineRule="auto"/>
        <w:jc w:val="center"/>
        <w:rPr>
          <w:rFonts w:ascii="仿宋" w:hAnsi="仿宋" w:eastAsia="仿宋" w:cs="仿宋_GB2312"/>
          <w:b/>
          <w:sz w:val="24"/>
          <w:highlight w:val="none"/>
        </w:rPr>
      </w:pPr>
    </w:p>
    <w:p w14:paraId="6118BB77">
      <w:pPr>
        <w:pStyle w:val="2"/>
      </w:pPr>
    </w:p>
    <w:p w14:paraId="12E34655">
      <w:pPr>
        <w:spacing w:line="360" w:lineRule="auto"/>
        <w:jc w:val="center"/>
        <w:rPr>
          <w:rFonts w:ascii="仿宋" w:hAnsi="仿宋" w:eastAsia="仿宋" w:cs="仿宋_GB2312"/>
          <w:b/>
          <w:sz w:val="24"/>
          <w:highlight w:val="none"/>
        </w:rPr>
      </w:pPr>
    </w:p>
    <w:p w14:paraId="70FADC7A">
      <w:pPr>
        <w:spacing w:line="360" w:lineRule="auto"/>
        <w:jc w:val="center"/>
        <w:rPr>
          <w:rFonts w:ascii="仿宋" w:hAnsi="仿宋" w:eastAsia="仿宋" w:cs="仿宋_GB2312"/>
          <w:b/>
          <w:sz w:val="24"/>
          <w:highlight w:val="none"/>
        </w:rPr>
      </w:pPr>
    </w:p>
    <w:p w14:paraId="6C4198D6">
      <w:pPr>
        <w:spacing w:line="360" w:lineRule="auto"/>
        <w:jc w:val="center"/>
        <w:rPr>
          <w:rFonts w:ascii="仿宋" w:hAnsi="仿宋" w:eastAsia="仿宋" w:cs="仿宋_GB2312"/>
          <w:b/>
          <w:sz w:val="24"/>
          <w:highlight w:val="none"/>
        </w:rPr>
      </w:pPr>
    </w:p>
    <w:p w14:paraId="44BE7953">
      <w:pPr>
        <w:spacing w:line="360" w:lineRule="auto"/>
        <w:jc w:val="center"/>
        <w:rPr>
          <w:rFonts w:ascii="仿宋" w:hAnsi="仿宋" w:eastAsia="仿宋" w:cs="仿宋_GB2312"/>
          <w:b/>
          <w:bCs/>
          <w:sz w:val="24"/>
          <w:highlight w:val="none"/>
        </w:rPr>
      </w:pPr>
      <w:r>
        <w:rPr>
          <w:rFonts w:hint="eastAsia" w:ascii="仿宋" w:hAnsi="仿宋" w:eastAsia="仿宋" w:cs="仿宋_GB2312"/>
          <w:b/>
          <w:sz w:val="24"/>
          <w:highlight w:val="none"/>
        </w:rPr>
        <w:t>十二、投标廉洁</w:t>
      </w:r>
      <w:r>
        <w:rPr>
          <w:rFonts w:hint="eastAsia" w:ascii="仿宋" w:hAnsi="仿宋" w:eastAsia="仿宋" w:cs="仿宋_GB2312"/>
          <w:b/>
          <w:bCs/>
          <w:sz w:val="24"/>
          <w:highlight w:val="none"/>
        </w:rPr>
        <w:t>承诺书</w:t>
      </w:r>
    </w:p>
    <w:p w14:paraId="1625C7C5">
      <w:pPr>
        <w:spacing w:line="360" w:lineRule="auto"/>
        <w:ind w:firstLine="480" w:firstLineChars="200"/>
        <w:rPr>
          <w:rFonts w:ascii="仿宋" w:hAnsi="仿宋" w:eastAsia="仿宋" w:cs="仿宋_GB2312"/>
          <w:sz w:val="24"/>
          <w:highlight w:val="none"/>
        </w:rPr>
      </w:pPr>
    </w:p>
    <w:p w14:paraId="31B0C23E">
      <w:pPr>
        <w:spacing w:line="360" w:lineRule="auto"/>
        <w:ind w:firstLine="480" w:firstLineChars="200"/>
        <w:rPr>
          <w:rFonts w:ascii="仿宋" w:hAnsi="仿宋" w:eastAsia="仿宋" w:cs="仿宋_GB2312"/>
          <w:b/>
          <w:bCs/>
          <w:sz w:val="24"/>
          <w:highlight w:val="none"/>
        </w:rPr>
      </w:pPr>
      <w:r>
        <w:rPr>
          <w:rFonts w:hint="eastAsia" w:ascii="仿宋" w:hAnsi="仿宋" w:eastAsia="仿宋" w:cs="仿宋_GB2312"/>
          <w:sz w:val="24"/>
          <w:highlight w:val="none"/>
        </w:rPr>
        <w:t>我单位于年月日参与</w:t>
      </w:r>
      <w:r>
        <w:rPr>
          <w:rFonts w:hint="eastAsia" w:ascii="仿宋" w:hAnsi="仿宋" w:eastAsia="仿宋" w:cs="仿宋_GB2312"/>
          <w:sz w:val="24"/>
          <w:highlight w:val="none"/>
          <w:u w:val="single"/>
        </w:rPr>
        <w:t>（招标编号）</w:t>
      </w:r>
      <w:r>
        <w:rPr>
          <w:rFonts w:hint="eastAsia" w:ascii="仿宋" w:hAnsi="仿宋" w:eastAsia="仿宋" w:cs="仿宋_GB2312"/>
          <w:sz w:val="24"/>
          <w:highlight w:val="none"/>
        </w:rPr>
        <w:t>的</w:t>
      </w:r>
      <w:r>
        <w:rPr>
          <w:rFonts w:hint="eastAsia" w:ascii="仿宋" w:hAnsi="仿宋" w:eastAsia="仿宋" w:cs="仿宋_GB2312"/>
          <w:sz w:val="24"/>
          <w:highlight w:val="none"/>
          <w:u w:val="single"/>
        </w:rPr>
        <w:t>（招标产品）</w:t>
      </w:r>
      <w:r>
        <w:rPr>
          <w:rFonts w:hint="eastAsia" w:ascii="仿宋" w:hAnsi="仿宋" w:eastAsia="仿宋" w:cs="仿宋_GB2312"/>
          <w:sz w:val="24"/>
          <w:highlight w:val="none"/>
        </w:rPr>
        <w:t>投标，为加强招投标管理和廉政建设，防止发生各种谋取不正当利益的违法违纪行为、规范双方的各项活动，保护当事人及所属公司的合法权益，供方承诺：</w:t>
      </w:r>
    </w:p>
    <w:p w14:paraId="08B29F8A">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承诺不相互串通投标或者与招标人串通投标；</w:t>
      </w:r>
    </w:p>
    <w:p w14:paraId="70B3D8AB">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不向招标人或者评标委员会成员行贿谋取中标；</w:t>
      </w:r>
    </w:p>
    <w:p w14:paraId="3FB2E015">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不以他人名义投标或者以其他方式弄虚作假骗取中标；</w:t>
      </w:r>
    </w:p>
    <w:p w14:paraId="2204F616">
      <w:pPr>
        <w:widowControl/>
        <w:numPr>
          <w:ilvl w:val="0"/>
          <w:numId w:val="3"/>
        </w:numPr>
        <w:spacing w:line="360" w:lineRule="auto"/>
        <w:ind w:firstLine="480" w:firstLineChars="200"/>
        <w:jc w:val="left"/>
        <w:rPr>
          <w:rFonts w:ascii="仿宋" w:hAnsi="仿宋" w:eastAsia="仿宋" w:cs="仿宋_GB2312"/>
          <w:sz w:val="24"/>
          <w:highlight w:val="none"/>
        </w:rPr>
      </w:pPr>
      <w:r>
        <w:rPr>
          <w:rFonts w:hint="eastAsia" w:ascii="仿宋" w:hAnsi="仿宋" w:eastAsia="仿宋" w:cs="仿宋_GB2312"/>
          <w:sz w:val="24"/>
          <w:highlight w:val="none"/>
        </w:rPr>
        <w:t>承诺不向招标人及有关人员提供任何形式的财、物及请吃消费；</w:t>
      </w:r>
    </w:p>
    <w:p w14:paraId="227A7A19">
      <w:pPr>
        <w:widowControl/>
        <w:numPr>
          <w:ilvl w:val="0"/>
          <w:numId w:val="3"/>
        </w:numPr>
        <w:spacing w:line="360" w:lineRule="auto"/>
        <w:ind w:firstLine="480" w:firstLineChars="200"/>
        <w:jc w:val="left"/>
        <w:rPr>
          <w:rFonts w:ascii="仿宋" w:hAnsi="仿宋" w:eastAsia="仿宋" w:cs="仿宋_GB2312"/>
          <w:color w:val="000000"/>
          <w:sz w:val="24"/>
          <w:highlight w:val="none"/>
        </w:rPr>
      </w:pPr>
      <w:r>
        <w:rPr>
          <w:rFonts w:hint="eastAsia" w:ascii="仿宋" w:hAnsi="仿宋" w:eastAsia="仿宋" w:cs="仿宋_GB2312"/>
          <w:sz w:val="24"/>
          <w:highlight w:val="none"/>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bookmarkStart w:id="0" w:name="_GoBack"/>
      <w:bookmarkEnd w:id="0"/>
    </w:p>
    <w:p w14:paraId="2FFD1423">
      <w:pPr>
        <w:spacing w:line="360" w:lineRule="auto"/>
        <w:ind w:firstLine="480" w:firstLineChars="200"/>
        <w:rPr>
          <w:rFonts w:ascii="仿宋" w:hAnsi="仿宋" w:eastAsia="仿宋" w:cs="仿宋_GB2312"/>
          <w:color w:val="000000"/>
          <w:sz w:val="24"/>
          <w:highlight w:val="none"/>
          <w:u w:val="single"/>
        </w:rPr>
      </w:pPr>
    </w:p>
    <w:p w14:paraId="717E977E">
      <w:pPr>
        <w:spacing w:line="360" w:lineRule="auto"/>
        <w:ind w:firstLine="4560" w:firstLineChars="1900"/>
        <w:rPr>
          <w:rFonts w:ascii="仿宋" w:hAnsi="仿宋" w:eastAsia="仿宋" w:cs="仿宋_GB2312"/>
          <w:sz w:val="24"/>
          <w:highlight w:val="none"/>
        </w:rPr>
      </w:pPr>
    </w:p>
    <w:p w14:paraId="73C88745">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 xml:space="preserve">承诺方签字 </w:t>
      </w:r>
      <w:r>
        <w:rPr>
          <w:rFonts w:hint="eastAsia" w:ascii="仿宋" w:hAnsi="仿宋" w:eastAsia="仿宋" w:cs="仿宋_GB2312"/>
          <w:b/>
          <w:bCs/>
          <w:sz w:val="24"/>
          <w:highlight w:val="none"/>
        </w:rPr>
        <w:t>:</w:t>
      </w:r>
    </w:p>
    <w:p w14:paraId="578CFF2C">
      <w:pPr>
        <w:spacing w:line="360" w:lineRule="auto"/>
        <w:ind w:firstLine="4578" w:firstLineChars="2100"/>
        <w:rPr>
          <w:rFonts w:ascii="仿宋" w:hAnsi="仿宋" w:eastAsia="仿宋" w:cs="仿宋_GB2312"/>
          <w:sz w:val="24"/>
          <w:highlight w:val="none"/>
        </w:rPr>
      </w:pPr>
      <w:r>
        <w:rPr>
          <w:rFonts w:hint="eastAsia" w:ascii="仿宋" w:hAnsi="仿宋" w:eastAsia="仿宋" w:cs="仿宋_GB2312"/>
          <w:spacing w:val="-11"/>
          <w:sz w:val="24"/>
          <w:highlight w:val="none"/>
        </w:rPr>
        <w:t>单 位 盖 章</w:t>
      </w:r>
      <w:r>
        <w:rPr>
          <w:rFonts w:hint="eastAsia" w:ascii="仿宋" w:hAnsi="仿宋" w:eastAsia="仿宋" w:cs="仿宋_GB2312"/>
          <w:sz w:val="24"/>
          <w:highlight w:val="none"/>
        </w:rPr>
        <w:t xml:space="preserve">：                    </w:t>
      </w:r>
    </w:p>
    <w:p w14:paraId="39098DAA">
      <w:pPr>
        <w:spacing w:line="360" w:lineRule="auto"/>
        <w:ind w:firstLine="1744" w:firstLineChars="800"/>
        <w:jc w:val="center"/>
        <w:rPr>
          <w:rFonts w:ascii="仿宋" w:hAnsi="仿宋" w:eastAsia="仿宋" w:cs="仿宋_GB2312"/>
          <w:sz w:val="24"/>
          <w:szCs w:val="24"/>
          <w:highlight w:val="none"/>
        </w:rPr>
      </w:pPr>
      <w:r>
        <w:rPr>
          <w:rFonts w:hint="eastAsia" w:ascii="仿宋" w:hAnsi="仿宋" w:eastAsia="仿宋" w:cs="仿宋_GB2312"/>
          <w:spacing w:val="-11"/>
          <w:sz w:val="24"/>
          <w:szCs w:val="24"/>
          <w:highlight w:val="none"/>
        </w:rPr>
        <w:t xml:space="preserve">日      </w:t>
      </w:r>
      <w:r>
        <w:rPr>
          <w:rFonts w:hint="eastAsia" w:ascii="仿宋" w:hAnsi="仿宋" w:eastAsia="仿宋" w:cs="仿宋_GB2312"/>
          <w:spacing w:val="-11"/>
          <w:sz w:val="24"/>
          <w:szCs w:val="24"/>
          <w:highlight w:val="none"/>
          <w:lang w:val="en-US" w:eastAsia="zh-CN"/>
        </w:rPr>
        <w:t xml:space="preserve"> </w:t>
      </w:r>
      <w:r>
        <w:rPr>
          <w:rFonts w:hint="eastAsia" w:ascii="仿宋" w:hAnsi="仿宋" w:eastAsia="仿宋" w:cs="仿宋_GB2312"/>
          <w:spacing w:val="-11"/>
          <w:sz w:val="24"/>
          <w:szCs w:val="24"/>
          <w:highlight w:val="none"/>
        </w:rPr>
        <w:t xml:space="preserve"> 期：</w:t>
      </w:r>
    </w:p>
    <w:p w14:paraId="01E1C2C3">
      <w:pPr>
        <w:spacing w:line="560" w:lineRule="exact"/>
        <w:rPr>
          <w:rFonts w:ascii="仿宋" w:hAnsi="仿宋" w:eastAsia="仿宋" w:cs="仿宋_GB2312"/>
          <w:b/>
          <w:sz w:val="36"/>
          <w:szCs w:val="36"/>
          <w:highlight w:val="none"/>
        </w:rPr>
        <w:sectPr>
          <w:headerReference r:id="rId6" w:type="default"/>
          <w:footerReference r:id="rId7" w:type="default"/>
          <w:pgSz w:w="11906" w:h="16838"/>
          <w:pgMar w:top="1417" w:right="1417" w:bottom="1417" w:left="1417" w:header="851" w:footer="273" w:gutter="284"/>
          <w:cols w:space="720" w:num="1"/>
          <w:docGrid w:type="lines" w:linePitch="312" w:charSpace="0"/>
        </w:sectPr>
      </w:pPr>
    </w:p>
    <w:p w14:paraId="2766BAFE">
      <w:pPr>
        <w:spacing w:line="400" w:lineRule="exact"/>
        <w:jc w:val="center"/>
        <w:rPr>
          <w:rFonts w:ascii="仿宋" w:hAnsi="仿宋" w:eastAsia="仿宋"/>
          <w:b/>
          <w:sz w:val="28"/>
          <w:szCs w:val="28"/>
          <w:highlight w:val="none"/>
        </w:rPr>
      </w:pPr>
      <w:r>
        <w:rPr>
          <w:rFonts w:hint="eastAsia" w:ascii="仿宋" w:hAnsi="仿宋" w:eastAsia="仿宋" w:cs="仿宋_GB2312"/>
          <w:b/>
          <w:sz w:val="36"/>
          <w:szCs w:val="36"/>
          <w:highlight w:val="none"/>
        </w:rPr>
        <w:t>十三、报价单</w:t>
      </w:r>
    </w:p>
    <w:p w14:paraId="49F06839">
      <w:pPr>
        <w:spacing w:line="400" w:lineRule="exact"/>
        <w:rPr>
          <w:rFonts w:ascii="仿宋" w:hAnsi="仿宋" w:eastAsia="仿宋" w:cs="仿宋_GB2312"/>
          <w:b/>
          <w:sz w:val="28"/>
          <w:szCs w:val="28"/>
          <w:highlight w:val="none"/>
        </w:rPr>
      </w:pPr>
      <w:r>
        <w:rPr>
          <w:rFonts w:hint="eastAsia" w:ascii="仿宋" w:hAnsi="仿宋" w:eastAsia="仿宋"/>
          <w:b/>
          <w:sz w:val="28"/>
          <w:szCs w:val="28"/>
          <w:highlight w:val="none"/>
        </w:rPr>
        <w:t>报价单（TGJA-WZ-2024</w:t>
      </w:r>
      <w:r>
        <w:rPr>
          <w:rFonts w:hint="eastAsia" w:ascii="仿宋" w:hAnsi="仿宋" w:eastAsia="仿宋"/>
          <w:b/>
          <w:sz w:val="28"/>
          <w:szCs w:val="28"/>
          <w:highlight w:val="none"/>
          <w:lang w:val="en-US" w:eastAsia="zh-CN"/>
        </w:rPr>
        <w:t>133</w:t>
      </w:r>
      <w:r>
        <w:rPr>
          <w:rFonts w:hint="eastAsia" w:ascii="仿宋" w:hAnsi="仿宋" w:eastAsia="仿宋"/>
          <w:b/>
          <w:sz w:val="28"/>
          <w:szCs w:val="28"/>
          <w:highlight w:val="none"/>
        </w:rPr>
        <w:t>）：</w:t>
      </w:r>
    </w:p>
    <w:tbl>
      <w:tblPr>
        <w:tblStyle w:val="47"/>
        <w:tblW w:w="154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
        <w:gridCol w:w="2111"/>
        <w:gridCol w:w="2370"/>
        <w:gridCol w:w="530"/>
        <w:gridCol w:w="382"/>
        <w:gridCol w:w="1338"/>
        <w:gridCol w:w="2388"/>
        <w:gridCol w:w="1129"/>
        <w:gridCol w:w="1054"/>
        <w:gridCol w:w="696"/>
        <w:gridCol w:w="2919"/>
      </w:tblGrid>
      <w:tr w14:paraId="3E485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23" w:type="dxa"/>
            <w:vAlign w:val="center"/>
          </w:tcPr>
          <w:p w14:paraId="5302B2ED">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2111" w:type="dxa"/>
            <w:vAlign w:val="center"/>
          </w:tcPr>
          <w:p w14:paraId="0661CFE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物料名称</w:t>
            </w:r>
          </w:p>
        </w:tc>
        <w:tc>
          <w:tcPr>
            <w:tcW w:w="2370" w:type="dxa"/>
            <w:vAlign w:val="center"/>
          </w:tcPr>
          <w:p w14:paraId="4B5AB816">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型号规格</w:t>
            </w:r>
          </w:p>
        </w:tc>
        <w:tc>
          <w:tcPr>
            <w:tcW w:w="912" w:type="dxa"/>
            <w:gridSpan w:val="2"/>
            <w:vAlign w:val="center"/>
          </w:tcPr>
          <w:p w14:paraId="527120FA">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w:t>
            </w:r>
          </w:p>
        </w:tc>
        <w:tc>
          <w:tcPr>
            <w:tcW w:w="1338" w:type="dxa"/>
            <w:vAlign w:val="center"/>
          </w:tcPr>
          <w:p w14:paraId="2FC4578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2388" w:type="dxa"/>
            <w:vAlign w:val="center"/>
          </w:tcPr>
          <w:p w14:paraId="7D107751">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单价下浮（元</w:t>
            </w:r>
            <w:r>
              <w:rPr>
                <w:rFonts w:hint="eastAsia" w:ascii="仿宋" w:hAnsi="仿宋" w:eastAsia="仿宋" w:cs="仿宋"/>
                <w:color w:val="auto"/>
                <w:sz w:val="24"/>
                <w:szCs w:val="24"/>
                <w:highlight w:val="none"/>
                <w:lang w:val="en-US" w:eastAsia="zh-CN"/>
              </w:rPr>
              <w:t>/吨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w:t>
            </w:r>
          </w:p>
        </w:tc>
        <w:tc>
          <w:tcPr>
            <w:tcW w:w="1129" w:type="dxa"/>
            <w:vAlign w:val="center"/>
          </w:tcPr>
          <w:p w14:paraId="2D994118">
            <w:pPr>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税率*</w:t>
            </w:r>
          </w:p>
        </w:tc>
        <w:tc>
          <w:tcPr>
            <w:tcW w:w="1750" w:type="dxa"/>
            <w:gridSpan w:val="2"/>
            <w:vAlign w:val="center"/>
          </w:tcPr>
          <w:p w14:paraId="1C554A4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是否为增值税专用发票*</w:t>
            </w:r>
          </w:p>
        </w:tc>
        <w:tc>
          <w:tcPr>
            <w:tcW w:w="2919" w:type="dxa"/>
            <w:vAlign w:val="center"/>
          </w:tcPr>
          <w:p w14:paraId="6420F33C">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备注</w:t>
            </w:r>
          </w:p>
        </w:tc>
      </w:tr>
      <w:tr w14:paraId="4D94B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3F94A7FF">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1</w:t>
            </w:r>
          </w:p>
        </w:tc>
        <w:tc>
          <w:tcPr>
            <w:tcW w:w="2111" w:type="dxa"/>
            <w:vAlign w:val="center"/>
          </w:tcPr>
          <w:p w14:paraId="2A27581F">
            <w:pPr>
              <w:keepNext w:val="0"/>
              <w:keepLines w:val="0"/>
              <w:widowControl/>
              <w:suppressLineNumbers w:val="0"/>
              <w:jc w:val="center"/>
              <w:textAlignment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螺纹钢</w:t>
            </w:r>
          </w:p>
        </w:tc>
        <w:tc>
          <w:tcPr>
            <w:tcW w:w="2370" w:type="dxa"/>
            <w:vAlign w:val="center"/>
          </w:tcPr>
          <w:p w14:paraId="320A8F4A">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HRB500E；25</w:t>
            </w:r>
          </w:p>
        </w:tc>
        <w:tc>
          <w:tcPr>
            <w:tcW w:w="912" w:type="dxa"/>
            <w:gridSpan w:val="2"/>
            <w:vAlign w:val="center"/>
          </w:tcPr>
          <w:p w14:paraId="3895E68B">
            <w:pPr>
              <w:keepNext w:val="0"/>
              <w:keepLines w:val="0"/>
              <w:widowControl/>
              <w:suppressLineNumbers w:val="0"/>
              <w:jc w:val="center"/>
              <w:textAlignment w:val="center"/>
              <w:rPr>
                <w:rFonts w:hint="eastAsia" w:ascii="仿宋" w:hAnsi="仿宋" w:eastAsia="仿宋" w:cs="仿宋"/>
                <w:color w:val="auto"/>
                <w:sz w:val="24"/>
                <w:szCs w:val="24"/>
                <w:highlight w:val="none"/>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54F9821C">
            <w:pPr>
              <w:keepNext w:val="0"/>
              <w:keepLines w:val="0"/>
              <w:widowControl/>
              <w:suppressLineNumbers w:val="0"/>
              <w:jc w:val="center"/>
              <w:textAlignment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18.02</w:t>
            </w:r>
          </w:p>
        </w:tc>
        <w:tc>
          <w:tcPr>
            <w:tcW w:w="2388" w:type="dxa"/>
            <w:vMerge w:val="restart"/>
            <w:vAlign w:val="center"/>
          </w:tcPr>
          <w:p w14:paraId="5AAAAF22">
            <w:pPr>
              <w:spacing w:line="40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w:t>
            </w:r>
          </w:p>
        </w:tc>
        <w:tc>
          <w:tcPr>
            <w:tcW w:w="1129" w:type="dxa"/>
            <w:vMerge w:val="restart"/>
            <w:vAlign w:val="center"/>
          </w:tcPr>
          <w:p w14:paraId="1ADB8767">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restart"/>
            <w:vAlign w:val="center"/>
          </w:tcPr>
          <w:p w14:paraId="76E6AE73">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5F5D943B">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GB/T1499.2-2018；赤峰钢材选用相当于宝钢、鞍钢、首钢、山钢等大厂产品</w:t>
            </w:r>
          </w:p>
        </w:tc>
      </w:tr>
      <w:tr w14:paraId="4D7F3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4697421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w:t>
            </w:r>
          </w:p>
        </w:tc>
        <w:tc>
          <w:tcPr>
            <w:tcW w:w="2111" w:type="dxa"/>
            <w:vAlign w:val="center"/>
          </w:tcPr>
          <w:p w14:paraId="07993FC9">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螺纹钢</w:t>
            </w:r>
          </w:p>
        </w:tc>
        <w:tc>
          <w:tcPr>
            <w:tcW w:w="2370" w:type="dxa"/>
            <w:vAlign w:val="center"/>
          </w:tcPr>
          <w:p w14:paraId="2152D69A">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HRB500E；22</w:t>
            </w:r>
          </w:p>
        </w:tc>
        <w:tc>
          <w:tcPr>
            <w:tcW w:w="912" w:type="dxa"/>
            <w:gridSpan w:val="2"/>
            <w:vAlign w:val="center"/>
          </w:tcPr>
          <w:p w14:paraId="74E4B036">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45116350">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6.08</w:t>
            </w:r>
          </w:p>
        </w:tc>
        <w:tc>
          <w:tcPr>
            <w:tcW w:w="2388" w:type="dxa"/>
            <w:vMerge w:val="continue"/>
            <w:vAlign w:val="center"/>
          </w:tcPr>
          <w:p w14:paraId="707AE5DC">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714E817F">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47E0F223">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7958D0BA">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GB/T1499.2-2018；赤峰钢材选用相当于宝钢、鞍钢、首钢、山钢等大厂产品</w:t>
            </w:r>
          </w:p>
        </w:tc>
      </w:tr>
      <w:tr w14:paraId="78654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523" w:type="dxa"/>
            <w:vAlign w:val="center"/>
          </w:tcPr>
          <w:p w14:paraId="022C6DF4">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w:t>
            </w:r>
          </w:p>
        </w:tc>
        <w:tc>
          <w:tcPr>
            <w:tcW w:w="2111" w:type="dxa"/>
            <w:vAlign w:val="center"/>
          </w:tcPr>
          <w:p w14:paraId="2A0D88E7">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螺纹钢</w:t>
            </w:r>
          </w:p>
        </w:tc>
        <w:tc>
          <w:tcPr>
            <w:tcW w:w="2370" w:type="dxa"/>
            <w:vAlign w:val="center"/>
          </w:tcPr>
          <w:p w14:paraId="2C4EFDE3">
            <w:pPr>
              <w:keepNext w:val="0"/>
              <w:keepLines w:val="0"/>
              <w:widowControl/>
              <w:suppressLineNumbers w:val="0"/>
              <w:jc w:val="center"/>
              <w:textAlignment w:val="center"/>
              <w:rPr>
                <w:rFonts w:hint="default" w:ascii="仿宋" w:hAnsi="仿宋" w:eastAsia="仿宋" w:cs="仿宋"/>
                <w:color w:val="auto"/>
                <w:sz w:val="24"/>
                <w:szCs w:val="24"/>
                <w:highlight w:val="none"/>
                <w:lang w:val="en-US"/>
              </w:rPr>
            </w:pPr>
            <w:r>
              <w:rPr>
                <w:rFonts w:hint="eastAsia" w:ascii="仿宋" w:hAnsi="仿宋" w:eastAsia="仿宋" w:cs="仿宋"/>
                <w:i w:val="0"/>
                <w:color w:val="000000"/>
                <w:kern w:val="0"/>
                <w:sz w:val="24"/>
                <w:szCs w:val="24"/>
                <w:u w:val="none"/>
                <w:lang w:val="en-US" w:eastAsia="zh-CN" w:bidi="ar"/>
              </w:rPr>
              <w:t>HRB500E；20</w:t>
            </w:r>
          </w:p>
        </w:tc>
        <w:tc>
          <w:tcPr>
            <w:tcW w:w="912" w:type="dxa"/>
            <w:gridSpan w:val="2"/>
            <w:vAlign w:val="center"/>
          </w:tcPr>
          <w:p w14:paraId="6CDEBEA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吨</w:t>
            </w:r>
          </w:p>
        </w:tc>
        <w:tc>
          <w:tcPr>
            <w:tcW w:w="1338" w:type="dxa"/>
            <w:vAlign w:val="center"/>
          </w:tcPr>
          <w:p w14:paraId="4222E764">
            <w:pPr>
              <w:keepNext w:val="0"/>
              <w:keepLines w:val="0"/>
              <w:widowControl/>
              <w:suppressLineNumbers w:val="0"/>
              <w:jc w:val="center"/>
              <w:textAlignment w:val="center"/>
              <w:rPr>
                <w:rFonts w:hint="default"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9.78</w:t>
            </w:r>
          </w:p>
        </w:tc>
        <w:tc>
          <w:tcPr>
            <w:tcW w:w="2388" w:type="dxa"/>
            <w:vMerge w:val="continue"/>
            <w:vAlign w:val="center"/>
          </w:tcPr>
          <w:p w14:paraId="621BED88">
            <w:pPr>
              <w:spacing w:line="400" w:lineRule="exact"/>
              <w:jc w:val="center"/>
              <w:rPr>
                <w:rFonts w:hint="eastAsia" w:ascii="仿宋" w:hAnsi="仿宋" w:eastAsia="仿宋" w:cs="仿宋"/>
                <w:color w:val="auto"/>
                <w:sz w:val="24"/>
                <w:szCs w:val="24"/>
                <w:highlight w:val="none"/>
              </w:rPr>
            </w:pPr>
          </w:p>
        </w:tc>
        <w:tc>
          <w:tcPr>
            <w:tcW w:w="1129" w:type="dxa"/>
            <w:vMerge w:val="continue"/>
            <w:vAlign w:val="center"/>
          </w:tcPr>
          <w:p w14:paraId="5E127B96">
            <w:pPr>
              <w:spacing w:line="400" w:lineRule="exact"/>
              <w:jc w:val="center"/>
              <w:rPr>
                <w:rFonts w:hint="eastAsia" w:ascii="仿宋" w:hAnsi="仿宋" w:eastAsia="仿宋" w:cs="仿宋"/>
                <w:color w:val="auto"/>
                <w:sz w:val="24"/>
                <w:szCs w:val="24"/>
                <w:highlight w:val="none"/>
                <w:lang w:val="en-US" w:eastAsia="zh-CN"/>
              </w:rPr>
            </w:pPr>
          </w:p>
        </w:tc>
        <w:tc>
          <w:tcPr>
            <w:tcW w:w="1750" w:type="dxa"/>
            <w:gridSpan w:val="2"/>
            <w:vMerge w:val="continue"/>
            <w:vAlign w:val="center"/>
          </w:tcPr>
          <w:p w14:paraId="5788654A">
            <w:pPr>
              <w:spacing w:line="40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2919" w:type="dxa"/>
            <w:vAlign w:val="center"/>
          </w:tcPr>
          <w:p w14:paraId="1E5493BE">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i w:val="0"/>
                <w:color w:val="000000"/>
                <w:kern w:val="0"/>
                <w:sz w:val="24"/>
                <w:szCs w:val="24"/>
                <w:u w:val="none"/>
                <w:lang w:val="en-US" w:eastAsia="zh-CN" w:bidi="ar"/>
              </w:rPr>
              <w:t>GB/T1499.2-2018；赤峰钢材选用相当于宝钢、鞍钢、首钢、山钢等大厂产品</w:t>
            </w:r>
          </w:p>
        </w:tc>
      </w:tr>
      <w:tr w14:paraId="5CFAA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523" w:type="dxa"/>
            <w:vAlign w:val="center"/>
          </w:tcPr>
          <w:p w14:paraId="2FAAE617">
            <w:pPr>
              <w:spacing w:line="400" w:lineRule="exact"/>
              <w:jc w:val="center"/>
              <w:rPr>
                <w:rFonts w:hint="eastAsia" w:ascii="仿宋" w:hAnsi="仿宋" w:eastAsia="仿宋" w:cs="仿宋"/>
                <w:color w:val="auto"/>
                <w:sz w:val="24"/>
                <w:szCs w:val="24"/>
                <w:highlight w:val="none"/>
                <w:lang w:val="en-US" w:eastAsia="zh-CN"/>
              </w:rPr>
            </w:pPr>
          </w:p>
        </w:tc>
        <w:tc>
          <w:tcPr>
            <w:tcW w:w="6731" w:type="dxa"/>
            <w:gridSpan w:val="5"/>
            <w:vAlign w:val="center"/>
          </w:tcPr>
          <w:p w14:paraId="527F8CBC">
            <w:pPr>
              <w:keepNext w:val="0"/>
              <w:keepLines w:val="0"/>
              <w:widowControl/>
              <w:suppressLineNumbers w:val="0"/>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合计：</w:t>
            </w:r>
          </w:p>
        </w:tc>
        <w:tc>
          <w:tcPr>
            <w:tcW w:w="2388" w:type="dxa"/>
            <w:vAlign w:val="center"/>
          </w:tcPr>
          <w:p w14:paraId="7177948B">
            <w:pPr>
              <w:spacing w:line="400" w:lineRule="exact"/>
              <w:jc w:val="center"/>
              <w:rPr>
                <w:rFonts w:hint="eastAsia" w:ascii="仿宋" w:hAnsi="仿宋" w:eastAsia="仿宋" w:cs="仿宋"/>
                <w:color w:val="auto"/>
                <w:sz w:val="24"/>
                <w:szCs w:val="24"/>
                <w:highlight w:val="none"/>
              </w:rPr>
            </w:pPr>
          </w:p>
        </w:tc>
        <w:tc>
          <w:tcPr>
            <w:tcW w:w="1129" w:type="dxa"/>
            <w:vAlign w:val="center"/>
          </w:tcPr>
          <w:p w14:paraId="6B6E3A09">
            <w:pPr>
              <w:spacing w:line="400" w:lineRule="exact"/>
              <w:jc w:val="center"/>
              <w:rPr>
                <w:rFonts w:hint="eastAsia" w:ascii="仿宋" w:hAnsi="仿宋" w:eastAsia="仿宋" w:cs="仿宋"/>
                <w:color w:val="auto"/>
                <w:sz w:val="24"/>
                <w:szCs w:val="24"/>
                <w:highlight w:val="none"/>
              </w:rPr>
            </w:pPr>
          </w:p>
        </w:tc>
        <w:tc>
          <w:tcPr>
            <w:tcW w:w="1750" w:type="dxa"/>
            <w:gridSpan w:val="2"/>
            <w:vAlign w:val="center"/>
          </w:tcPr>
          <w:p w14:paraId="562E54F8">
            <w:pPr>
              <w:spacing w:line="400" w:lineRule="exact"/>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2919" w:type="dxa"/>
            <w:vAlign w:val="center"/>
          </w:tcPr>
          <w:p w14:paraId="7319F3DF">
            <w:pPr>
              <w:widowControl/>
              <w:jc w:val="center"/>
              <w:textAlignment w:val="center"/>
              <w:rPr>
                <w:rFonts w:hint="eastAsia" w:ascii="仿宋" w:hAnsi="仿宋" w:eastAsia="仿宋" w:cs="仿宋"/>
                <w:color w:val="000000" w:themeColor="text1"/>
                <w:kern w:val="0"/>
                <w:sz w:val="24"/>
                <w:szCs w:val="24"/>
                <w:highlight w:val="none"/>
                <w14:textFill>
                  <w14:solidFill>
                    <w14:schemeClr w14:val="tx1"/>
                  </w14:solidFill>
                </w14:textFill>
              </w:rPr>
            </w:pPr>
          </w:p>
        </w:tc>
      </w:tr>
      <w:tr w14:paraId="1A236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440" w:type="dxa"/>
            <w:gridSpan w:val="11"/>
            <w:vAlign w:val="center"/>
          </w:tcPr>
          <w:p w14:paraId="4C3998D1">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说明：1、此报价表中带 </w:t>
            </w:r>
            <w:r>
              <w:rPr>
                <w:rFonts w:hint="eastAsia" w:ascii="仿宋" w:hAnsi="仿宋" w:eastAsia="仿宋" w:cs="仿宋"/>
                <w:color w:val="auto"/>
                <w:sz w:val="24"/>
                <w:szCs w:val="24"/>
                <w:highlight w:val="none"/>
              </w:rPr>
              <w:t>*</w:t>
            </w:r>
            <w:r>
              <w:rPr>
                <w:rFonts w:hint="eastAsia" w:ascii="仿宋" w:hAnsi="仿宋" w:eastAsia="仿宋" w:cs="仿宋"/>
                <w:sz w:val="24"/>
                <w:szCs w:val="24"/>
                <w:highlight w:val="none"/>
              </w:rPr>
              <w:t xml:space="preserve"> 号为必填项，投标人的所有报价文件均为加盖单位公章的打印件（签名部分除外）。</w:t>
            </w:r>
          </w:p>
          <w:p w14:paraId="7AD071E2">
            <w:pPr>
              <w:numPr>
                <w:ilvl w:val="0"/>
                <w:numId w:val="4"/>
              </w:numPr>
              <w:spacing w:line="400" w:lineRule="exact"/>
              <w:ind w:firstLine="720" w:firstLineChars="300"/>
              <w:rPr>
                <w:rFonts w:hint="default"/>
                <w:lang w:val="en-US" w:eastAsia="zh-CN"/>
              </w:rPr>
            </w:pPr>
            <w:r>
              <w:rPr>
                <w:rFonts w:hint="eastAsia" w:ascii="仿宋" w:hAnsi="仿宋" w:eastAsia="仿宋" w:cs="仿宋"/>
                <w:sz w:val="24"/>
                <w:szCs w:val="24"/>
                <w:highlight w:val="none"/>
              </w:rPr>
              <w:t>本次招标的数量为预估量，最终结算数量以双方确认的实际供货数量为准。</w:t>
            </w:r>
            <w:r>
              <w:rPr>
                <w:rFonts w:hint="eastAsia" w:ascii="仿宋" w:hAnsi="仿宋" w:eastAsia="仿宋" w:cs="仿宋"/>
                <w:sz w:val="24"/>
                <w:szCs w:val="24"/>
                <w:highlight w:val="none"/>
                <w:lang w:val="en-US" w:eastAsia="zh-CN"/>
              </w:rPr>
              <w:t xml:space="preserve">                                                         </w:t>
            </w:r>
          </w:p>
          <w:p w14:paraId="46009E00">
            <w:pPr>
              <w:pStyle w:val="2"/>
              <w:ind w:left="0" w:leftChars="0" w:firstLine="0" w:firstLineChars="0"/>
              <w:rPr>
                <w:rFonts w:hint="default"/>
                <w:lang w:val="en-US" w:eastAsia="zh-CN"/>
              </w:rPr>
            </w:pPr>
          </w:p>
        </w:tc>
      </w:tr>
      <w:tr w14:paraId="2987F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5534" w:type="dxa"/>
            <w:gridSpan w:val="4"/>
            <w:vMerge w:val="restart"/>
            <w:vAlign w:val="center"/>
          </w:tcPr>
          <w:p w14:paraId="18F2D7DF">
            <w:pPr>
              <w:spacing w:line="400" w:lineRule="exact"/>
              <w:ind w:firstLine="240" w:firstLineChars="100"/>
              <w:rPr>
                <w:rFonts w:hint="eastAsia" w:ascii="仿宋" w:hAnsi="仿宋" w:eastAsia="仿宋" w:cs="仿宋"/>
                <w:sz w:val="24"/>
                <w:szCs w:val="24"/>
                <w:highlight w:val="none"/>
              </w:rPr>
            </w:pPr>
            <w:r>
              <w:rPr>
                <w:rFonts w:hint="eastAsia" w:ascii="仿宋" w:hAnsi="仿宋" w:eastAsia="仿宋" w:cs="仿宋"/>
                <w:sz w:val="24"/>
                <w:szCs w:val="24"/>
                <w:highlight w:val="none"/>
              </w:rPr>
              <w:t>投标单位（公章）</w:t>
            </w:r>
          </w:p>
        </w:tc>
        <w:tc>
          <w:tcPr>
            <w:tcW w:w="4108" w:type="dxa"/>
            <w:gridSpan w:val="3"/>
            <w:vAlign w:val="center"/>
          </w:tcPr>
          <w:p w14:paraId="0C2783F3">
            <w:pPr>
              <w:spacing w:line="40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法定代表人或授权委托人</w:t>
            </w:r>
          </w:p>
        </w:tc>
        <w:tc>
          <w:tcPr>
            <w:tcW w:w="5798" w:type="dxa"/>
            <w:gridSpan w:val="4"/>
            <w:vAlign w:val="center"/>
          </w:tcPr>
          <w:p w14:paraId="7E4CB515">
            <w:pPr>
              <w:spacing w:line="400" w:lineRule="exact"/>
              <w:rPr>
                <w:rFonts w:hint="eastAsia" w:ascii="仿宋" w:hAnsi="仿宋" w:eastAsia="仿宋" w:cs="仿宋"/>
                <w:sz w:val="24"/>
                <w:szCs w:val="24"/>
                <w:highlight w:val="none"/>
              </w:rPr>
            </w:pPr>
          </w:p>
        </w:tc>
      </w:tr>
      <w:tr w14:paraId="1D0F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34" w:type="dxa"/>
            <w:gridSpan w:val="4"/>
            <w:vMerge w:val="continue"/>
            <w:vAlign w:val="center"/>
          </w:tcPr>
          <w:p w14:paraId="37DC7FD2">
            <w:pPr>
              <w:spacing w:line="400" w:lineRule="exact"/>
              <w:rPr>
                <w:rFonts w:hint="eastAsia" w:ascii="仿宋" w:hAnsi="仿宋" w:eastAsia="仿宋" w:cs="仿宋"/>
                <w:sz w:val="24"/>
                <w:szCs w:val="24"/>
                <w:highlight w:val="none"/>
              </w:rPr>
            </w:pPr>
          </w:p>
        </w:tc>
        <w:tc>
          <w:tcPr>
            <w:tcW w:w="4108" w:type="dxa"/>
            <w:gridSpan w:val="3"/>
            <w:vMerge w:val="restart"/>
            <w:vAlign w:val="center"/>
          </w:tcPr>
          <w:p w14:paraId="021E0D7D">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联系方式</w:t>
            </w:r>
          </w:p>
        </w:tc>
        <w:tc>
          <w:tcPr>
            <w:tcW w:w="2183" w:type="dxa"/>
            <w:gridSpan w:val="2"/>
            <w:vAlign w:val="center"/>
          </w:tcPr>
          <w:p w14:paraId="35BA1084">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电话</w:t>
            </w:r>
          </w:p>
        </w:tc>
        <w:tc>
          <w:tcPr>
            <w:tcW w:w="3615" w:type="dxa"/>
            <w:gridSpan w:val="2"/>
            <w:vAlign w:val="center"/>
          </w:tcPr>
          <w:p w14:paraId="7A3EBF82">
            <w:pPr>
              <w:spacing w:line="400" w:lineRule="exact"/>
              <w:rPr>
                <w:rFonts w:hint="eastAsia" w:ascii="仿宋" w:hAnsi="仿宋" w:eastAsia="仿宋" w:cs="仿宋"/>
                <w:sz w:val="24"/>
                <w:szCs w:val="24"/>
                <w:highlight w:val="none"/>
              </w:rPr>
            </w:pPr>
          </w:p>
        </w:tc>
      </w:tr>
      <w:tr w14:paraId="5A994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534" w:type="dxa"/>
            <w:gridSpan w:val="4"/>
            <w:vMerge w:val="continue"/>
            <w:vAlign w:val="center"/>
          </w:tcPr>
          <w:p w14:paraId="3BA066CA">
            <w:pPr>
              <w:spacing w:line="400" w:lineRule="exact"/>
              <w:rPr>
                <w:rFonts w:hint="eastAsia" w:ascii="仿宋" w:hAnsi="仿宋" w:eastAsia="仿宋" w:cs="仿宋"/>
                <w:sz w:val="24"/>
                <w:szCs w:val="24"/>
                <w:highlight w:val="none"/>
              </w:rPr>
            </w:pPr>
          </w:p>
        </w:tc>
        <w:tc>
          <w:tcPr>
            <w:tcW w:w="4108" w:type="dxa"/>
            <w:gridSpan w:val="3"/>
            <w:vMerge w:val="continue"/>
            <w:vAlign w:val="center"/>
          </w:tcPr>
          <w:p w14:paraId="08FE76D1">
            <w:pPr>
              <w:spacing w:line="400" w:lineRule="exact"/>
              <w:jc w:val="center"/>
              <w:rPr>
                <w:rFonts w:hint="eastAsia" w:ascii="仿宋" w:hAnsi="仿宋" w:eastAsia="仿宋" w:cs="仿宋"/>
                <w:sz w:val="24"/>
                <w:szCs w:val="24"/>
                <w:highlight w:val="none"/>
              </w:rPr>
            </w:pPr>
          </w:p>
        </w:tc>
        <w:tc>
          <w:tcPr>
            <w:tcW w:w="2183" w:type="dxa"/>
            <w:gridSpan w:val="2"/>
            <w:vAlign w:val="center"/>
          </w:tcPr>
          <w:p w14:paraId="6B65AD25">
            <w:pPr>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邮箱</w:t>
            </w:r>
          </w:p>
        </w:tc>
        <w:tc>
          <w:tcPr>
            <w:tcW w:w="3615" w:type="dxa"/>
            <w:gridSpan w:val="2"/>
            <w:vAlign w:val="center"/>
          </w:tcPr>
          <w:p w14:paraId="6D8E8485">
            <w:pPr>
              <w:spacing w:line="400" w:lineRule="exact"/>
              <w:rPr>
                <w:rFonts w:hint="eastAsia" w:ascii="仿宋" w:hAnsi="仿宋" w:eastAsia="仿宋" w:cs="仿宋"/>
                <w:sz w:val="24"/>
                <w:szCs w:val="24"/>
                <w:highlight w:val="none"/>
              </w:rPr>
            </w:pPr>
          </w:p>
        </w:tc>
      </w:tr>
    </w:tbl>
    <w:p w14:paraId="76F6EDF3">
      <w:pPr>
        <w:spacing w:line="400" w:lineRule="exact"/>
        <w:rPr>
          <w:rFonts w:ascii="仿宋" w:hAnsi="仿宋" w:eastAsia="仿宋"/>
          <w:b/>
          <w:sz w:val="28"/>
          <w:szCs w:val="28"/>
          <w:highlight w:val="none"/>
        </w:rPr>
      </w:pPr>
    </w:p>
    <w:p w14:paraId="714066F6">
      <w:pPr>
        <w:pStyle w:val="2"/>
        <w:rPr>
          <w:rFonts w:ascii="仿宋" w:hAnsi="仿宋" w:eastAsia="仿宋"/>
          <w:b/>
          <w:sz w:val="28"/>
          <w:szCs w:val="28"/>
          <w:highlight w:val="none"/>
        </w:rPr>
      </w:pPr>
    </w:p>
    <w:p w14:paraId="4C68558D">
      <w:pPr>
        <w:pStyle w:val="2"/>
        <w:ind w:left="0" w:leftChars="0" w:firstLine="0" w:firstLineChars="0"/>
        <w:rPr>
          <w:rFonts w:ascii="仿宋" w:hAnsi="仿宋" w:eastAsia="仿宋"/>
          <w:b/>
          <w:sz w:val="28"/>
          <w:szCs w:val="28"/>
          <w:highlight w:val="none"/>
        </w:rPr>
      </w:pPr>
    </w:p>
    <w:sectPr>
      <w:pgSz w:w="16838" w:h="11906" w:orient="landscape"/>
      <w:pgMar w:top="1338" w:right="312" w:bottom="1469" w:left="709" w:header="851" w:footer="273" w:gutter="28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A8767">
    <w:pPr>
      <w:pStyle w:val="31"/>
      <w:jc w:val="center"/>
    </w:pPr>
  </w:p>
  <w:p w14:paraId="315611BB">
    <w:pPr>
      <w:pStyle w:val="3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B7F59">
    <w:pPr>
      <w:pStyle w:val="31"/>
      <w:framePr w:wrap="around" w:vAnchor="text" w:hAnchor="margin" w:xAlign="right" w:y="1"/>
      <w:rPr>
        <w:rStyle w:val="51"/>
      </w:rPr>
    </w:pPr>
    <w:r>
      <w:fldChar w:fldCharType="begin"/>
    </w:r>
    <w:r>
      <w:rPr>
        <w:rStyle w:val="51"/>
      </w:rPr>
      <w:instrText xml:space="preserve">PAGE  </w:instrText>
    </w:r>
    <w:r>
      <w:fldChar w:fldCharType="end"/>
    </w:r>
  </w:p>
  <w:p w14:paraId="6C133D35">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3B93F">
    <w:pPr>
      <w:pStyle w:val="31"/>
      <w:ind w:right="360"/>
      <w:jc w:val="right"/>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0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wps:txbx>
                    <wps:bodyPr wrap="none" lIns="0" tIns="0" rIns="0" bIns="0" upright="0">
                      <a:spAutoFit/>
                    </wps:bodyPr>
                  </wps:wsp>
                </a:graphicData>
              </a:graphic>
            </wp:anchor>
          </w:drawing>
        </mc:Choice>
        <mc:Fallback>
          <w:pict>
            <v:shape id="文本框 2051"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B4FFJAzwEAAKoDAAAOAAAAAAAAAAEAIAAAAB4BAABkcnMv&#10;ZTJvRG9jLnhtbFBLBQYAAAAABgAGAFkBAABfBQAAAAA=&#10;">
              <v:fill on="f" focussize="0,0"/>
              <v:stroke on="f"/>
              <v:imagedata o:title=""/>
              <o:lock v:ext="edit" aspectratio="f"/>
              <v:textbox inset="0mm,0mm,0mm,0mm" style="mso-fit-shape-to-text:t;">
                <w:txbxContent>
                  <w:p w14:paraId="42C64914">
                    <w:pPr>
                      <w:pStyle w:val="31"/>
                      <w:rPr>
                        <w:rStyle w:val="51"/>
                      </w:rPr>
                    </w:pPr>
                    <w:r>
                      <w:fldChar w:fldCharType="begin"/>
                    </w:r>
                    <w:r>
                      <w:rPr>
                        <w:rStyle w:val="51"/>
                      </w:rPr>
                      <w:instrText xml:space="preserve">PAGE  </w:instrText>
                    </w:r>
                    <w:r>
                      <w:fldChar w:fldCharType="separate"/>
                    </w:r>
                    <w:r>
                      <w:rPr>
                        <w:rStyle w:val="51"/>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DCF0C">
    <w:pPr>
      <w:rPr>
        <w:sz w:val="18"/>
        <w:szCs w:val="18"/>
      </w:rPr>
    </w:pPr>
    <w:r>
      <w:rPr>
        <w:sz w:val="18"/>
        <w:szCs w:val="18"/>
      </w:rPr>
      <w:drawing>
        <wp:inline distT="0" distB="0" distL="114300" distR="114300">
          <wp:extent cx="228600" cy="209550"/>
          <wp:effectExtent l="0" t="0" r="0" b="0"/>
          <wp:docPr id="3"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4F465">
    <w:pPr>
      <w:rPr>
        <w:sz w:val="18"/>
        <w:szCs w:val="18"/>
        <w:u w:val="single"/>
      </w:rPr>
    </w:pPr>
    <w:r>
      <w:rPr>
        <w:sz w:val="18"/>
        <w:szCs w:val="18"/>
        <w:u w:val="single"/>
      </w:rPr>
      <w:drawing>
        <wp:inline distT="0" distB="0" distL="114300" distR="114300">
          <wp:extent cx="228600" cy="209550"/>
          <wp:effectExtent l="0" t="0" r="0" b="0"/>
          <wp:docPr id="4"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tlys"/>
                  <pic:cNvPicPr>
                    <a:picLocks noChangeAspect="1"/>
                  </pic:cNvPicPr>
                </pic:nvPicPr>
                <pic:blipFill>
                  <a:blip r:embed="rId1"/>
                  <a:stretch>
                    <a:fillRect/>
                  </a:stretch>
                </pic:blipFill>
                <pic:spPr>
                  <a:xfrm>
                    <a:off x="0" y="0"/>
                    <a:ext cx="228600" cy="209550"/>
                  </a:xfrm>
                  <a:prstGeom prst="rect">
                    <a:avLst/>
                  </a:prstGeom>
                  <a:noFill/>
                  <a:ln>
                    <a:noFill/>
                  </a:ln>
                </pic:spPr>
              </pic:pic>
            </a:graphicData>
          </a:graphic>
        </wp:inline>
      </w:drawing>
    </w:r>
    <w:r>
      <w:rPr>
        <w:rFonts w:hint="eastAsia"/>
        <w:sz w:val="18"/>
        <w:szCs w:val="18"/>
        <w:u w:val="single"/>
      </w:rPr>
      <w:t>铜陵有色金属集团铜冠建筑安装股份有限公司           　　　         物资竞价文件</w:t>
    </w:r>
  </w:p>
  <w:p w14:paraId="7A30072E">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2BEA27D7"/>
    <w:multiLevelType w:val="singleLevel"/>
    <w:tmpl w:val="2BEA27D7"/>
    <w:lvl w:ilvl="0" w:tentative="0">
      <w:start w:val="6"/>
      <w:numFmt w:val="decimal"/>
      <w:suff w:val="nothing"/>
      <w:lvlText w:val="%1、"/>
      <w:lvlJc w:val="left"/>
    </w:lvl>
  </w:abstractNum>
  <w:abstractNum w:abstractNumId="2">
    <w:nsid w:val="438B66A3"/>
    <w:multiLevelType w:val="multilevel"/>
    <w:tmpl w:val="438B66A3"/>
    <w:lvl w:ilvl="0" w:tentative="0">
      <w:start w:val="1"/>
      <w:numFmt w:val="decimal"/>
      <w:pStyle w:val="62"/>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48987D3"/>
    <w:multiLevelType w:val="singleLevel"/>
    <w:tmpl w:val="748987D3"/>
    <w:lvl w:ilvl="0" w:tentative="0">
      <w:start w:val="2"/>
      <w:numFmt w:val="decimal"/>
      <w:suff w:val="nothing"/>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4MGQzNjc5ZGE1Mzg2NDBjZGFjOTRmNWIzN2I3NzMifQ=="/>
  </w:docVars>
  <w:rsids>
    <w:rsidRoot w:val="00172A27"/>
    <w:rsid w:val="0000135C"/>
    <w:rsid w:val="0000241E"/>
    <w:rsid w:val="00002AE1"/>
    <w:rsid w:val="00004FB7"/>
    <w:rsid w:val="00010EC3"/>
    <w:rsid w:val="000135B4"/>
    <w:rsid w:val="00015D3F"/>
    <w:rsid w:val="0001705D"/>
    <w:rsid w:val="00017307"/>
    <w:rsid w:val="00017F6C"/>
    <w:rsid w:val="00020360"/>
    <w:rsid w:val="00020FD6"/>
    <w:rsid w:val="000226DD"/>
    <w:rsid w:val="00024BD0"/>
    <w:rsid w:val="000263E2"/>
    <w:rsid w:val="0003099D"/>
    <w:rsid w:val="00033176"/>
    <w:rsid w:val="00033A6F"/>
    <w:rsid w:val="00035337"/>
    <w:rsid w:val="00035C1C"/>
    <w:rsid w:val="00043460"/>
    <w:rsid w:val="00044EB4"/>
    <w:rsid w:val="000451B4"/>
    <w:rsid w:val="00046E93"/>
    <w:rsid w:val="000509DE"/>
    <w:rsid w:val="00051D40"/>
    <w:rsid w:val="00052B99"/>
    <w:rsid w:val="000554D1"/>
    <w:rsid w:val="00056974"/>
    <w:rsid w:val="00057052"/>
    <w:rsid w:val="00057704"/>
    <w:rsid w:val="000600DA"/>
    <w:rsid w:val="00062061"/>
    <w:rsid w:val="00062ADB"/>
    <w:rsid w:val="00064C97"/>
    <w:rsid w:val="00065BBF"/>
    <w:rsid w:val="00065DDC"/>
    <w:rsid w:val="00066E50"/>
    <w:rsid w:val="0006769A"/>
    <w:rsid w:val="00070D77"/>
    <w:rsid w:val="000732F3"/>
    <w:rsid w:val="000751EA"/>
    <w:rsid w:val="00076A5F"/>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6C07"/>
    <w:rsid w:val="00096ECD"/>
    <w:rsid w:val="00097732"/>
    <w:rsid w:val="00097962"/>
    <w:rsid w:val="000A1422"/>
    <w:rsid w:val="000A2577"/>
    <w:rsid w:val="000A2BC9"/>
    <w:rsid w:val="000A2D5F"/>
    <w:rsid w:val="000A3FBC"/>
    <w:rsid w:val="000A5054"/>
    <w:rsid w:val="000A5C90"/>
    <w:rsid w:val="000A709C"/>
    <w:rsid w:val="000B4D43"/>
    <w:rsid w:val="000B6D9C"/>
    <w:rsid w:val="000B751D"/>
    <w:rsid w:val="000C1AB7"/>
    <w:rsid w:val="000C24CD"/>
    <w:rsid w:val="000C434A"/>
    <w:rsid w:val="000C628D"/>
    <w:rsid w:val="000C724D"/>
    <w:rsid w:val="000C75BC"/>
    <w:rsid w:val="000D4E04"/>
    <w:rsid w:val="000D73A2"/>
    <w:rsid w:val="000E08B4"/>
    <w:rsid w:val="000E08B9"/>
    <w:rsid w:val="000E3515"/>
    <w:rsid w:val="000E7955"/>
    <w:rsid w:val="000F1F80"/>
    <w:rsid w:val="000F37C3"/>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27DF"/>
    <w:rsid w:val="0012356E"/>
    <w:rsid w:val="00124A2E"/>
    <w:rsid w:val="00130EDA"/>
    <w:rsid w:val="00130F21"/>
    <w:rsid w:val="00132040"/>
    <w:rsid w:val="00132C53"/>
    <w:rsid w:val="0013319E"/>
    <w:rsid w:val="0013565E"/>
    <w:rsid w:val="00135EF2"/>
    <w:rsid w:val="001366DF"/>
    <w:rsid w:val="001433EE"/>
    <w:rsid w:val="00144695"/>
    <w:rsid w:val="0014483A"/>
    <w:rsid w:val="001463DD"/>
    <w:rsid w:val="001517EC"/>
    <w:rsid w:val="00151850"/>
    <w:rsid w:val="00151E53"/>
    <w:rsid w:val="00152324"/>
    <w:rsid w:val="00152955"/>
    <w:rsid w:val="00152A14"/>
    <w:rsid w:val="00152AED"/>
    <w:rsid w:val="001574C3"/>
    <w:rsid w:val="00157CE5"/>
    <w:rsid w:val="00157F80"/>
    <w:rsid w:val="00162D70"/>
    <w:rsid w:val="001636AF"/>
    <w:rsid w:val="0016486D"/>
    <w:rsid w:val="00166DBE"/>
    <w:rsid w:val="00171951"/>
    <w:rsid w:val="00172A27"/>
    <w:rsid w:val="00175E3E"/>
    <w:rsid w:val="001808AE"/>
    <w:rsid w:val="00181A04"/>
    <w:rsid w:val="00181C28"/>
    <w:rsid w:val="00184EE4"/>
    <w:rsid w:val="00186B88"/>
    <w:rsid w:val="001908CF"/>
    <w:rsid w:val="001914B8"/>
    <w:rsid w:val="00192807"/>
    <w:rsid w:val="001928BE"/>
    <w:rsid w:val="00195A28"/>
    <w:rsid w:val="0019607A"/>
    <w:rsid w:val="001A4289"/>
    <w:rsid w:val="001A62BD"/>
    <w:rsid w:val="001B068D"/>
    <w:rsid w:val="001B077C"/>
    <w:rsid w:val="001B2097"/>
    <w:rsid w:val="001B36FE"/>
    <w:rsid w:val="001B4498"/>
    <w:rsid w:val="001B55AF"/>
    <w:rsid w:val="001B6F77"/>
    <w:rsid w:val="001B7203"/>
    <w:rsid w:val="001C1CEC"/>
    <w:rsid w:val="001C7021"/>
    <w:rsid w:val="001D017A"/>
    <w:rsid w:val="001D078D"/>
    <w:rsid w:val="001D1233"/>
    <w:rsid w:val="001D19F4"/>
    <w:rsid w:val="001D1F75"/>
    <w:rsid w:val="001D2040"/>
    <w:rsid w:val="001D6FFB"/>
    <w:rsid w:val="001D7832"/>
    <w:rsid w:val="001D7DCC"/>
    <w:rsid w:val="001E0BB3"/>
    <w:rsid w:val="001E1495"/>
    <w:rsid w:val="001E4303"/>
    <w:rsid w:val="001E4497"/>
    <w:rsid w:val="001E461D"/>
    <w:rsid w:val="001E5D46"/>
    <w:rsid w:val="001E7F1F"/>
    <w:rsid w:val="001F0E84"/>
    <w:rsid w:val="002017F4"/>
    <w:rsid w:val="00201B6E"/>
    <w:rsid w:val="0020299E"/>
    <w:rsid w:val="002055AE"/>
    <w:rsid w:val="00210D17"/>
    <w:rsid w:val="00211B80"/>
    <w:rsid w:val="0021269F"/>
    <w:rsid w:val="002126B9"/>
    <w:rsid w:val="00212ACB"/>
    <w:rsid w:val="0021329B"/>
    <w:rsid w:val="00214AB1"/>
    <w:rsid w:val="00214C48"/>
    <w:rsid w:val="00215422"/>
    <w:rsid w:val="00215868"/>
    <w:rsid w:val="00216B6F"/>
    <w:rsid w:val="002208CD"/>
    <w:rsid w:val="0022291E"/>
    <w:rsid w:val="00223017"/>
    <w:rsid w:val="0023156A"/>
    <w:rsid w:val="00231FEB"/>
    <w:rsid w:val="00237140"/>
    <w:rsid w:val="0023771E"/>
    <w:rsid w:val="0023772E"/>
    <w:rsid w:val="00240174"/>
    <w:rsid w:val="00240778"/>
    <w:rsid w:val="00240D1B"/>
    <w:rsid w:val="00241D19"/>
    <w:rsid w:val="00243B82"/>
    <w:rsid w:val="00246692"/>
    <w:rsid w:val="00247E18"/>
    <w:rsid w:val="002514B4"/>
    <w:rsid w:val="00253C7C"/>
    <w:rsid w:val="00253D95"/>
    <w:rsid w:val="00256C09"/>
    <w:rsid w:val="00256CFD"/>
    <w:rsid w:val="00260383"/>
    <w:rsid w:val="0026086C"/>
    <w:rsid w:val="00261833"/>
    <w:rsid w:val="00262B8B"/>
    <w:rsid w:val="00267B2C"/>
    <w:rsid w:val="00271CA6"/>
    <w:rsid w:val="00275859"/>
    <w:rsid w:val="0027586B"/>
    <w:rsid w:val="00275DB3"/>
    <w:rsid w:val="0027618B"/>
    <w:rsid w:val="00281A4C"/>
    <w:rsid w:val="002843A0"/>
    <w:rsid w:val="0028652C"/>
    <w:rsid w:val="0029044A"/>
    <w:rsid w:val="0029466A"/>
    <w:rsid w:val="0029671E"/>
    <w:rsid w:val="00297F03"/>
    <w:rsid w:val="002A10EF"/>
    <w:rsid w:val="002A3177"/>
    <w:rsid w:val="002A3444"/>
    <w:rsid w:val="002A73F9"/>
    <w:rsid w:val="002B0253"/>
    <w:rsid w:val="002B03ED"/>
    <w:rsid w:val="002B1A7D"/>
    <w:rsid w:val="002B2A97"/>
    <w:rsid w:val="002B3268"/>
    <w:rsid w:val="002B4EB5"/>
    <w:rsid w:val="002B5823"/>
    <w:rsid w:val="002B5EF2"/>
    <w:rsid w:val="002C186E"/>
    <w:rsid w:val="002C1B43"/>
    <w:rsid w:val="002C3393"/>
    <w:rsid w:val="002C6726"/>
    <w:rsid w:val="002D0251"/>
    <w:rsid w:val="002D152D"/>
    <w:rsid w:val="002D1E95"/>
    <w:rsid w:val="002D30E3"/>
    <w:rsid w:val="002D336E"/>
    <w:rsid w:val="002D63CD"/>
    <w:rsid w:val="002D7740"/>
    <w:rsid w:val="002E012C"/>
    <w:rsid w:val="002E0B02"/>
    <w:rsid w:val="002E13B4"/>
    <w:rsid w:val="002E1DE1"/>
    <w:rsid w:val="002E39B8"/>
    <w:rsid w:val="002E4018"/>
    <w:rsid w:val="002E4C84"/>
    <w:rsid w:val="002E7B1C"/>
    <w:rsid w:val="002F1ED6"/>
    <w:rsid w:val="002F5119"/>
    <w:rsid w:val="00300274"/>
    <w:rsid w:val="00300953"/>
    <w:rsid w:val="003041A6"/>
    <w:rsid w:val="00305296"/>
    <w:rsid w:val="00314A09"/>
    <w:rsid w:val="00314EF8"/>
    <w:rsid w:val="003158F9"/>
    <w:rsid w:val="00321077"/>
    <w:rsid w:val="00322773"/>
    <w:rsid w:val="00322851"/>
    <w:rsid w:val="003231FA"/>
    <w:rsid w:val="00325519"/>
    <w:rsid w:val="00327907"/>
    <w:rsid w:val="00327B53"/>
    <w:rsid w:val="003313BB"/>
    <w:rsid w:val="00331EE6"/>
    <w:rsid w:val="003333B6"/>
    <w:rsid w:val="0033389B"/>
    <w:rsid w:val="00334465"/>
    <w:rsid w:val="0033477E"/>
    <w:rsid w:val="00335EDE"/>
    <w:rsid w:val="003372D5"/>
    <w:rsid w:val="0033751C"/>
    <w:rsid w:val="0034183D"/>
    <w:rsid w:val="00342982"/>
    <w:rsid w:val="00344AF1"/>
    <w:rsid w:val="00345592"/>
    <w:rsid w:val="00347155"/>
    <w:rsid w:val="0034787E"/>
    <w:rsid w:val="00350277"/>
    <w:rsid w:val="0035287E"/>
    <w:rsid w:val="00352CBA"/>
    <w:rsid w:val="00353A90"/>
    <w:rsid w:val="00353F6D"/>
    <w:rsid w:val="00354EA0"/>
    <w:rsid w:val="00357085"/>
    <w:rsid w:val="003571EC"/>
    <w:rsid w:val="003577D8"/>
    <w:rsid w:val="00360F65"/>
    <w:rsid w:val="00362C90"/>
    <w:rsid w:val="003651B6"/>
    <w:rsid w:val="0036615C"/>
    <w:rsid w:val="00366875"/>
    <w:rsid w:val="00366A1D"/>
    <w:rsid w:val="00371385"/>
    <w:rsid w:val="00371891"/>
    <w:rsid w:val="00372B8B"/>
    <w:rsid w:val="00372C52"/>
    <w:rsid w:val="003747BF"/>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4096"/>
    <w:rsid w:val="003B5893"/>
    <w:rsid w:val="003B5AD4"/>
    <w:rsid w:val="003C0D57"/>
    <w:rsid w:val="003C0E22"/>
    <w:rsid w:val="003C1087"/>
    <w:rsid w:val="003C276F"/>
    <w:rsid w:val="003C3CB1"/>
    <w:rsid w:val="003C42E1"/>
    <w:rsid w:val="003C4CAC"/>
    <w:rsid w:val="003D03F1"/>
    <w:rsid w:val="003D18DF"/>
    <w:rsid w:val="003D29D6"/>
    <w:rsid w:val="003D4082"/>
    <w:rsid w:val="003D48D2"/>
    <w:rsid w:val="003D56C8"/>
    <w:rsid w:val="003D584A"/>
    <w:rsid w:val="003D5BB4"/>
    <w:rsid w:val="003E1536"/>
    <w:rsid w:val="003E386A"/>
    <w:rsid w:val="003E4458"/>
    <w:rsid w:val="003E6EE0"/>
    <w:rsid w:val="003E7331"/>
    <w:rsid w:val="003F02C3"/>
    <w:rsid w:val="003F09DB"/>
    <w:rsid w:val="003F1C9E"/>
    <w:rsid w:val="003F1E9C"/>
    <w:rsid w:val="003F7457"/>
    <w:rsid w:val="003F7E39"/>
    <w:rsid w:val="003F7ED5"/>
    <w:rsid w:val="004044E3"/>
    <w:rsid w:val="004052C9"/>
    <w:rsid w:val="00410F69"/>
    <w:rsid w:val="00410FB1"/>
    <w:rsid w:val="004123CF"/>
    <w:rsid w:val="00412440"/>
    <w:rsid w:val="0041418B"/>
    <w:rsid w:val="004163A7"/>
    <w:rsid w:val="00416625"/>
    <w:rsid w:val="00416B7C"/>
    <w:rsid w:val="00416E34"/>
    <w:rsid w:val="00416EF3"/>
    <w:rsid w:val="00417BA3"/>
    <w:rsid w:val="0042014A"/>
    <w:rsid w:val="004228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2361"/>
    <w:rsid w:val="00453AFC"/>
    <w:rsid w:val="0045515F"/>
    <w:rsid w:val="00456453"/>
    <w:rsid w:val="00456B13"/>
    <w:rsid w:val="00460043"/>
    <w:rsid w:val="004602F1"/>
    <w:rsid w:val="0046071F"/>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310E"/>
    <w:rsid w:val="004E3A34"/>
    <w:rsid w:val="004F1674"/>
    <w:rsid w:val="004F16B5"/>
    <w:rsid w:val="004F28A8"/>
    <w:rsid w:val="004F340A"/>
    <w:rsid w:val="004F64D8"/>
    <w:rsid w:val="004F727F"/>
    <w:rsid w:val="004F7CF3"/>
    <w:rsid w:val="004F7F32"/>
    <w:rsid w:val="005009D6"/>
    <w:rsid w:val="00502B1B"/>
    <w:rsid w:val="00504E69"/>
    <w:rsid w:val="0050665B"/>
    <w:rsid w:val="005069C8"/>
    <w:rsid w:val="00506DFB"/>
    <w:rsid w:val="00511F65"/>
    <w:rsid w:val="00512121"/>
    <w:rsid w:val="00514127"/>
    <w:rsid w:val="00516C93"/>
    <w:rsid w:val="00522A82"/>
    <w:rsid w:val="00522FD7"/>
    <w:rsid w:val="00523C70"/>
    <w:rsid w:val="00523D72"/>
    <w:rsid w:val="00523EE8"/>
    <w:rsid w:val="00524ADE"/>
    <w:rsid w:val="00525DAA"/>
    <w:rsid w:val="00526F01"/>
    <w:rsid w:val="00527CCB"/>
    <w:rsid w:val="00532A44"/>
    <w:rsid w:val="00532FCE"/>
    <w:rsid w:val="00533368"/>
    <w:rsid w:val="00533411"/>
    <w:rsid w:val="0053431E"/>
    <w:rsid w:val="0053444D"/>
    <w:rsid w:val="005360CC"/>
    <w:rsid w:val="00536167"/>
    <w:rsid w:val="00541D17"/>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380C"/>
    <w:rsid w:val="00575F4D"/>
    <w:rsid w:val="00576059"/>
    <w:rsid w:val="00576B85"/>
    <w:rsid w:val="005800E0"/>
    <w:rsid w:val="00580A3B"/>
    <w:rsid w:val="00580CBF"/>
    <w:rsid w:val="005817B5"/>
    <w:rsid w:val="00581C0E"/>
    <w:rsid w:val="00585B47"/>
    <w:rsid w:val="00593375"/>
    <w:rsid w:val="00594202"/>
    <w:rsid w:val="00595650"/>
    <w:rsid w:val="00597384"/>
    <w:rsid w:val="00597D77"/>
    <w:rsid w:val="005A6C22"/>
    <w:rsid w:val="005A7263"/>
    <w:rsid w:val="005B33BD"/>
    <w:rsid w:val="005B34D0"/>
    <w:rsid w:val="005B4930"/>
    <w:rsid w:val="005C155B"/>
    <w:rsid w:val="005C3C0E"/>
    <w:rsid w:val="005C4470"/>
    <w:rsid w:val="005C70CF"/>
    <w:rsid w:val="005D021C"/>
    <w:rsid w:val="005D0283"/>
    <w:rsid w:val="005D32F0"/>
    <w:rsid w:val="005D40CD"/>
    <w:rsid w:val="005D45B0"/>
    <w:rsid w:val="005D7E97"/>
    <w:rsid w:val="005E21C7"/>
    <w:rsid w:val="005E2E8F"/>
    <w:rsid w:val="005E47AA"/>
    <w:rsid w:val="005E5D88"/>
    <w:rsid w:val="005E66FB"/>
    <w:rsid w:val="005F0E4F"/>
    <w:rsid w:val="005F166F"/>
    <w:rsid w:val="005F212B"/>
    <w:rsid w:val="005F3607"/>
    <w:rsid w:val="005F3D24"/>
    <w:rsid w:val="005F5732"/>
    <w:rsid w:val="005F6AE0"/>
    <w:rsid w:val="005F79C1"/>
    <w:rsid w:val="005F7D67"/>
    <w:rsid w:val="006002EE"/>
    <w:rsid w:val="006017EA"/>
    <w:rsid w:val="00602CFA"/>
    <w:rsid w:val="006044A9"/>
    <w:rsid w:val="006047B4"/>
    <w:rsid w:val="00605113"/>
    <w:rsid w:val="006057CE"/>
    <w:rsid w:val="00610614"/>
    <w:rsid w:val="00610B4F"/>
    <w:rsid w:val="00612D05"/>
    <w:rsid w:val="00621901"/>
    <w:rsid w:val="0062384B"/>
    <w:rsid w:val="006250DB"/>
    <w:rsid w:val="00626D52"/>
    <w:rsid w:val="00627D76"/>
    <w:rsid w:val="00637C51"/>
    <w:rsid w:val="00640FC9"/>
    <w:rsid w:val="00643634"/>
    <w:rsid w:val="00643846"/>
    <w:rsid w:val="00644DC7"/>
    <w:rsid w:val="00645152"/>
    <w:rsid w:val="00645273"/>
    <w:rsid w:val="00645294"/>
    <w:rsid w:val="00645B9C"/>
    <w:rsid w:val="00650238"/>
    <w:rsid w:val="00651F99"/>
    <w:rsid w:val="006520B9"/>
    <w:rsid w:val="0065370A"/>
    <w:rsid w:val="00656DA0"/>
    <w:rsid w:val="00661576"/>
    <w:rsid w:val="00662729"/>
    <w:rsid w:val="00662C33"/>
    <w:rsid w:val="006645A5"/>
    <w:rsid w:val="00664F40"/>
    <w:rsid w:val="006655D4"/>
    <w:rsid w:val="00665CFD"/>
    <w:rsid w:val="00670763"/>
    <w:rsid w:val="00673501"/>
    <w:rsid w:val="00673953"/>
    <w:rsid w:val="00674BA0"/>
    <w:rsid w:val="00675452"/>
    <w:rsid w:val="00676734"/>
    <w:rsid w:val="00680D54"/>
    <w:rsid w:val="00682197"/>
    <w:rsid w:val="00685573"/>
    <w:rsid w:val="00685B58"/>
    <w:rsid w:val="00687C65"/>
    <w:rsid w:val="00690FF0"/>
    <w:rsid w:val="00693DF2"/>
    <w:rsid w:val="00693E8B"/>
    <w:rsid w:val="006950B5"/>
    <w:rsid w:val="006A1211"/>
    <w:rsid w:val="006A3B1E"/>
    <w:rsid w:val="006A64B4"/>
    <w:rsid w:val="006A7EA8"/>
    <w:rsid w:val="006B3010"/>
    <w:rsid w:val="006B41E6"/>
    <w:rsid w:val="006B5071"/>
    <w:rsid w:val="006B55DD"/>
    <w:rsid w:val="006B5783"/>
    <w:rsid w:val="006B6439"/>
    <w:rsid w:val="006B65EF"/>
    <w:rsid w:val="006B6BA4"/>
    <w:rsid w:val="006B726E"/>
    <w:rsid w:val="006C30BC"/>
    <w:rsid w:val="006C3FE4"/>
    <w:rsid w:val="006C4C3B"/>
    <w:rsid w:val="006C632C"/>
    <w:rsid w:val="006D0029"/>
    <w:rsid w:val="006D1AAE"/>
    <w:rsid w:val="006D217D"/>
    <w:rsid w:val="006D21CE"/>
    <w:rsid w:val="006D39C6"/>
    <w:rsid w:val="006D405A"/>
    <w:rsid w:val="006E0BF2"/>
    <w:rsid w:val="006E0D85"/>
    <w:rsid w:val="006E18C0"/>
    <w:rsid w:val="006E2DF0"/>
    <w:rsid w:val="006E3987"/>
    <w:rsid w:val="006E5E44"/>
    <w:rsid w:val="006E6169"/>
    <w:rsid w:val="006E654E"/>
    <w:rsid w:val="006F0DB2"/>
    <w:rsid w:val="006F15F0"/>
    <w:rsid w:val="006F216F"/>
    <w:rsid w:val="006F4AF0"/>
    <w:rsid w:val="006F52B8"/>
    <w:rsid w:val="006F5AB8"/>
    <w:rsid w:val="006F5B3B"/>
    <w:rsid w:val="00700051"/>
    <w:rsid w:val="00700583"/>
    <w:rsid w:val="00701C46"/>
    <w:rsid w:val="00702898"/>
    <w:rsid w:val="00703B0D"/>
    <w:rsid w:val="00703DF9"/>
    <w:rsid w:val="00705ACE"/>
    <w:rsid w:val="00705F58"/>
    <w:rsid w:val="00710574"/>
    <w:rsid w:val="00711265"/>
    <w:rsid w:val="00712798"/>
    <w:rsid w:val="00713C60"/>
    <w:rsid w:val="00713FD3"/>
    <w:rsid w:val="007162C5"/>
    <w:rsid w:val="007178AA"/>
    <w:rsid w:val="00720F63"/>
    <w:rsid w:val="007222C1"/>
    <w:rsid w:val="00724B3C"/>
    <w:rsid w:val="00725282"/>
    <w:rsid w:val="007266E9"/>
    <w:rsid w:val="007312E2"/>
    <w:rsid w:val="00731486"/>
    <w:rsid w:val="007314BF"/>
    <w:rsid w:val="00736E61"/>
    <w:rsid w:val="007378E1"/>
    <w:rsid w:val="007425B5"/>
    <w:rsid w:val="007442CF"/>
    <w:rsid w:val="007443D6"/>
    <w:rsid w:val="007445E5"/>
    <w:rsid w:val="00747935"/>
    <w:rsid w:val="00751347"/>
    <w:rsid w:val="007545AD"/>
    <w:rsid w:val="00756472"/>
    <w:rsid w:val="007568D6"/>
    <w:rsid w:val="00756F6E"/>
    <w:rsid w:val="007576EA"/>
    <w:rsid w:val="00757E70"/>
    <w:rsid w:val="00761625"/>
    <w:rsid w:val="00761AE2"/>
    <w:rsid w:val="00765A2C"/>
    <w:rsid w:val="007669FB"/>
    <w:rsid w:val="007716BF"/>
    <w:rsid w:val="007732ED"/>
    <w:rsid w:val="00775451"/>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3547"/>
    <w:rsid w:val="007B42A0"/>
    <w:rsid w:val="007B4723"/>
    <w:rsid w:val="007B635D"/>
    <w:rsid w:val="007C08D6"/>
    <w:rsid w:val="007C35F0"/>
    <w:rsid w:val="007C4473"/>
    <w:rsid w:val="007C4B32"/>
    <w:rsid w:val="007C4C84"/>
    <w:rsid w:val="007C4CCC"/>
    <w:rsid w:val="007C598B"/>
    <w:rsid w:val="007C6AEC"/>
    <w:rsid w:val="007C6AEE"/>
    <w:rsid w:val="007C71AF"/>
    <w:rsid w:val="007D162A"/>
    <w:rsid w:val="007D4A30"/>
    <w:rsid w:val="007D526F"/>
    <w:rsid w:val="007D7003"/>
    <w:rsid w:val="007D71B0"/>
    <w:rsid w:val="007E0E52"/>
    <w:rsid w:val="007E5517"/>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D14"/>
    <w:rsid w:val="00825DC8"/>
    <w:rsid w:val="008278E7"/>
    <w:rsid w:val="0083100E"/>
    <w:rsid w:val="0083157A"/>
    <w:rsid w:val="0083218E"/>
    <w:rsid w:val="008334B6"/>
    <w:rsid w:val="00833770"/>
    <w:rsid w:val="00837FE4"/>
    <w:rsid w:val="0084017C"/>
    <w:rsid w:val="0084188C"/>
    <w:rsid w:val="008422EC"/>
    <w:rsid w:val="00842DCC"/>
    <w:rsid w:val="00843F81"/>
    <w:rsid w:val="00844F4E"/>
    <w:rsid w:val="00845A8A"/>
    <w:rsid w:val="00846ABB"/>
    <w:rsid w:val="008513F2"/>
    <w:rsid w:val="00853C7E"/>
    <w:rsid w:val="00856241"/>
    <w:rsid w:val="00857148"/>
    <w:rsid w:val="008572EC"/>
    <w:rsid w:val="00861812"/>
    <w:rsid w:val="00861F62"/>
    <w:rsid w:val="0086332E"/>
    <w:rsid w:val="0086408F"/>
    <w:rsid w:val="008653A6"/>
    <w:rsid w:val="00866615"/>
    <w:rsid w:val="00872606"/>
    <w:rsid w:val="008729B4"/>
    <w:rsid w:val="00873229"/>
    <w:rsid w:val="008736AE"/>
    <w:rsid w:val="00874F93"/>
    <w:rsid w:val="00881001"/>
    <w:rsid w:val="00882397"/>
    <w:rsid w:val="00883B8D"/>
    <w:rsid w:val="00885158"/>
    <w:rsid w:val="0089036D"/>
    <w:rsid w:val="008906C3"/>
    <w:rsid w:val="008920B4"/>
    <w:rsid w:val="0089301F"/>
    <w:rsid w:val="008959AA"/>
    <w:rsid w:val="008A0622"/>
    <w:rsid w:val="008A150B"/>
    <w:rsid w:val="008A4634"/>
    <w:rsid w:val="008A6349"/>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D6A"/>
    <w:rsid w:val="008D3E30"/>
    <w:rsid w:val="008D3F9E"/>
    <w:rsid w:val="008D44C5"/>
    <w:rsid w:val="008E1A31"/>
    <w:rsid w:val="008E21DF"/>
    <w:rsid w:val="008E6979"/>
    <w:rsid w:val="008E6D2A"/>
    <w:rsid w:val="008E7DDC"/>
    <w:rsid w:val="008F0630"/>
    <w:rsid w:val="008F1528"/>
    <w:rsid w:val="008F3037"/>
    <w:rsid w:val="008F6E4E"/>
    <w:rsid w:val="008F71D2"/>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36C51"/>
    <w:rsid w:val="00946450"/>
    <w:rsid w:val="009473D2"/>
    <w:rsid w:val="0095118F"/>
    <w:rsid w:val="00954998"/>
    <w:rsid w:val="0095756F"/>
    <w:rsid w:val="00960D55"/>
    <w:rsid w:val="00961282"/>
    <w:rsid w:val="00964301"/>
    <w:rsid w:val="009677D4"/>
    <w:rsid w:val="009708B8"/>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6CA7"/>
    <w:rsid w:val="009A6ED8"/>
    <w:rsid w:val="009A6F26"/>
    <w:rsid w:val="009A712D"/>
    <w:rsid w:val="009A7284"/>
    <w:rsid w:val="009B05DF"/>
    <w:rsid w:val="009B158B"/>
    <w:rsid w:val="009B1BF7"/>
    <w:rsid w:val="009B3A72"/>
    <w:rsid w:val="009B491D"/>
    <w:rsid w:val="009B75F5"/>
    <w:rsid w:val="009C0E73"/>
    <w:rsid w:val="009C1D22"/>
    <w:rsid w:val="009C1F89"/>
    <w:rsid w:val="009C2197"/>
    <w:rsid w:val="009C2B94"/>
    <w:rsid w:val="009C2DB4"/>
    <w:rsid w:val="009C4F0C"/>
    <w:rsid w:val="009D0B9A"/>
    <w:rsid w:val="009D0F44"/>
    <w:rsid w:val="009D37EA"/>
    <w:rsid w:val="009D5179"/>
    <w:rsid w:val="009D67AC"/>
    <w:rsid w:val="009D79CA"/>
    <w:rsid w:val="009E03A8"/>
    <w:rsid w:val="009E3915"/>
    <w:rsid w:val="009F0603"/>
    <w:rsid w:val="009F090B"/>
    <w:rsid w:val="009F17E9"/>
    <w:rsid w:val="009F23E7"/>
    <w:rsid w:val="009F3AF9"/>
    <w:rsid w:val="009F40B9"/>
    <w:rsid w:val="009F50BF"/>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464A"/>
    <w:rsid w:val="00A45342"/>
    <w:rsid w:val="00A45622"/>
    <w:rsid w:val="00A46A07"/>
    <w:rsid w:val="00A538B0"/>
    <w:rsid w:val="00A547F7"/>
    <w:rsid w:val="00A54B77"/>
    <w:rsid w:val="00A55084"/>
    <w:rsid w:val="00A558DB"/>
    <w:rsid w:val="00A561E7"/>
    <w:rsid w:val="00A566C7"/>
    <w:rsid w:val="00A57F03"/>
    <w:rsid w:val="00A60385"/>
    <w:rsid w:val="00A60B5B"/>
    <w:rsid w:val="00A626B1"/>
    <w:rsid w:val="00A67A12"/>
    <w:rsid w:val="00A70041"/>
    <w:rsid w:val="00A7091D"/>
    <w:rsid w:val="00A72176"/>
    <w:rsid w:val="00A72D12"/>
    <w:rsid w:val="00A758BF"/>
    <w:rsid w:val="00A75D6F"/>
    <w:rsid w:val="00A7606E"/>
    <w:rsid w:val="00A763D9"/>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8F7"/>
    <w:rsid w:val="00AF45C0"/>
    <w:rsid w:val="00AF4C29"/>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1287"/>
    <w:rsid w:val="00B23C0B"/>
    <w:rsid w:val="00B250FA"/>
    <w:rsid w:val="00B25DB6"/>
    <w:rsid w:val="00B330E9"/>
    <w:rsid w:val="00B34C64"/>
    <w:rsid w:val="00B34F04"/>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192"/>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0D87"/>
    <w:rsid w:val="00BC1D27"/>
    <w:rsid w:val="00BC3386"/>
    <w:rsid w:val="00BC507E"/>
    <w:rsid w:val="00BC54C7"/>
    <w:rsid w:val="00BC6452"/>
    <w:rsid w:val="00BD079C"/>
    <w:rsid w:val="00BD3296"/>
    <w:rsid w:val="00BD40B9"/>
    <w:rsid w:val="00BD5347"/>
    <w:rsid w:val="00BD6EE2"/>
    <w:rsid w:val="00BE0FB1"/>
    <w:rsid w:val="00BE1E01"/>
    <w:rsid w:val="00BE209C"/>
    <w:rsid w:val="00BE31E1"/>
    <w:rsid w:val="00BE411E"/>
    <w:rsid w:val="00BE7F30"/>
    <w:rsid w:val="00BF1FA2"/>
    <w:rsid w:val="00BF374C"/>
    <w:rsid w:val="00BF48C3"/>
    <w:rsid w:val="00C007BD"/>
    <w:rsid w:val="00C00AC5"/>
    <w:rsid w:val="00C00C7E"/>
    <w:rsid w:val="00C02089"/>
    <w:rsid w:val="00C0383E"/>
    <w:rsid w:val="00C149AA"/>
    <w:rsid w:val="00C20145"/>
    <w:rsid w:val="00C21339"/>
    <w:rsid w:val="00C217C7"/>
    <w:rsid w:val="00C232C3"/>
    <w:rsid w:val="00C2547C"/>
    <w:rsid w:val="00C27B94"/>
    <w:rsid w:val="00C31F21"/>
    <w:rsid w:val="00C346EC"/>
    <w:rsid w:val="00C36FBD"/>
    <w:rsid w:val="00C40EDA"/>
    <w:rsid w:val="00C421A9"/>
    <w:rsid w:val="00C421F8"/>
    <w:rsid w:val="00C42F19"/>
    <w:rsid w:val="00C4676C"/>
    <w:rsid w:val="00C511F9"/>
    <w:rsid w:val="00C51D56"/>
    <w:rsid w:val="00C55A57"/>
    <w:rsid w:val="00C56A4F"/>
    <w:rsid w:val="00C57088"/>
    <w:rsid w:val="00C5722A"/>
    <w:rsid w:val="00C62C2D"/>
    <w:rsid w:val="00C630A0"/>
    <w:rsid w:val="00C636C7"/>
    <w:rsid w:val="00C65013"/>
    <w:rsid w:val="00C6632D"/>
    <w:rsid w:val="00C70160"/>
    <w:rsid w:val="00C7275D"/>
    <w:rsid w:val="00C74142"/>
    <w:rsid w:val="00C762CB"/>
    <w:rsid w:val="00C77791"/>
    <w:rsid w:val="00C81187"/>
    <w:rsid w:val="00C8217C"/>
    <w:rsid w:val="00C8418D"/>
    <w:rsid w:val="00C84281"/>
    <w:rsid w:val="00C843C2"/>
    <w:rsid w:val="00C84A0C"/>
    <w:rsid w:val="00C85432"/>
    <w:rsid w:val="00C87155"/>
    <w:rsid w:val="00C87B29"/>
    <w:rsid w:val="00C90626"/>
    <w:rsid w:val="00C91471"/>
    <w:rsid w:val="00C92DEF"/>
    <w:rsid w:val="00C94E50"/>
    <w:rsid w:val="00C96FB5"/>
    <w:rsid w:val="00C97045"/>
    <w:rsid w:val="00C973CB"/>
    <w:rsid w:val="00CA10C8"/>
    <w:rsid w:val="00CA1BB9"/>
    <w:rsid w:val="00CA4CF1"/>
    <w:rsid w:val="00CA576C"/>
    <w:rsid w:val="00CA66D6"/>
    <w:rsid w:val="00CA6F0F"/>
    <w:rsid w:val="00CA75CB"/>
    <w:rsid w:val="00CA77F2"/>
    <w:rsid w:val="00CB323A"/>
    <w:rsid w:val="00CB376F"/>
    <w:rsid w:val="00CB5986"/>
    <w:rsid w:val="00CB5E15"/>
    <w:rsid w:val="00CC1DE2"/>
    <w:rsid w:val="00CC483D"/>
    <w:rsid w:val="00CC5851"/>
    <w:rsid w:val="00CD1DD9"/>
    <w:rsid w:val="00CD2508"/>
    <w:rsid w:val="00CD2EE1"/>
    <w:rsid w:val="00CD3256"/>
    <w:rsid w:val="00CD49A5"/>
    <w:rsid w:val="00CD54B9"/>
    <w:rsid w:val="00CD5CE9"/>
    <w:rsid w:val="00CD6404"/>
    <w:rsid w:val="00CE2B12"/>
    <w:rsid w:val="00CF29B0"/>
    <w:rsid w:val="00CF465B"/>
    <w:rsid w:val="00CF4F2F"/>
    <w:rsid w:val="00CF5AD5"/>
    <w:rsid w:val="00CF6773"/>
    <w:rsid w:val="00CF6FA4"/>
    <w:rsid w:val="00D00CC3"/>
    <w:rsid w:val="00D00FE6"/>
    <w:rsid w:val="00D01741"/>
    <w:rsid w:val="00D01873"/>
    <w:rsid w:val="00D03B80"/>
    <w:rsid w:val="00D07853"/>
    <w:rsid w:val="00D109AA"/>
    <w:rsid w:val="00D116D1"/>
    <w:rsid w:val="00D120DA"/>
    <w:rsid w:val="00D1357B"/>
    <w:rsid w:val="00D14B16"/>
    <w:rsid w:val="00D15F6A"/>
    <w:rsid w:val="00D17F28"/>
    <w:rsid w:val="00D20364"/>
    <w:rsid w:val="00D217F6"/>
    <w:rsid w:val="00D2740A"/>
    <w:rsid w:val="00D3070C"/>
    <w:rsid w:val="00D3151B"/>
    <w:rsid w:val="00D31BF3"/>
    <w:rsid w:val="00D32A81"/>
    <w:rsid w:val="00D362D5"/>
    <w:rsid w:val="00D40FB7"/>
    <w:rsid w:val="00D419D2"/>
    <w:rsid w:val="00D421C8"/>
    <w:rsid w:val="00D438C1"/>
    <w:rsid w:val="00D46E85"/>
    <w:rsid w:val="00D50420"/>
    <w:rsid w:val="00D50A64"/>
    <w:rsid w:val="00D51659"/>
    <w:rsid w:val="00D51B5B"/>
    <w:rsid w:val="00D51F65"/>
    <w:rsid w:val="00D53B8C"/>
    <w:rsid w:val="00D557D5"/>
    <w:rsid w:val="00D56AE6"/>
    <w:rsid w:val="00D57A86"/>
    <w:rsid w:val="00D57C5D"/>
    <w:rsid w:val="00D606A2"/>
    <w:rsid w:val="00D6217B"/>
    <w:rsid w:val="00D621FC"/>
    <w:rsid w:val="00D62E08"/>
    <w:rsid w:val="00D64F70"/>
    <w:rsid w:val="00D65D41"/>
    <w:rsid w:val="00D70E44"/>
    <w:rsid w:val="00D74162"/>
    <w:rsid w:val="00D74510"/>
    <w:rsid w:val="00D8055A"/>
    <w:rsid w:val="00D80755"/>
    <w:rsid w:val="00D8177F"/>
    <w:rsid w:val="00D826FE"/>
    <w:rsid w:val="00D834B1"/>
    <w:rsid w:val="00D90E3C"/>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C47"/>
    <w:rsid w:val="00DB2FF6"/>
    <w:rsid w:val="00DB3CC3"/>
    <w:rsid w:val="00DB4F75"/>
    <w:rsid w:val="00DB5882"/>
    <w:rsid w:val="00DB63E2"/>
    <w:rsid w:val="00DC07C6"/>
    <w:rsid w:val="00DC1A39"/>
    <w:rsid w:val="00DC251F"/>
    <w:rsid w:val="00DC3DDE"/>
    <w:rsid w:val="00DC493F"/>
    <w:rsid w:val="00DC575A"/>
    <w:rsid w:val="00DC5D15"/>
    <w:rsid w:val="00DD0F8F"/>
    <w:rsid w:val="00DD1FCD"/>
    <w:rsid w:val="00DD3176"/>
    <w:rsid w:val="00DD4300"/>
    <w:rsid w:val="00DD5147"/>
    <w:rsid w:val="00DD53EB"/>
    <w:rsid w:val="00DD62ED"/>
    <w:rsid w:val="00DD6FC4"/>
    <w:rsid w:val="00DE2F0E"/>
    <w:rsid w:val="00DE3134"/>
    <w:rsid w:val="00DE3FB0"/>
    <w:rsid w:val="00DE53FA"/>
    <w:rsid w:val="00DE5507"/>
    <w:rsid w:val="00DF2FA9"/>
    <w:rsid w:val="00DF32C7"/>
    <w:rsid w:val="00DF5BDB"/>
    <w:rsid w:val="00DF6806"/>
    <w:rsid w:val="00DF7862"/>
    <w:rsid w:val="00E005EA"/>
    <w:rsid w:val="00E012B7"/>
    <w:rsid w:val="00E014CA"/>
    <w:rsid w:val="00E03F69"/>
    <w:rsid w:val="00E04556"/>
    <w:rsid w:val="00E04E92"/>
    <w:rsid w:val="00E1015A"/>
    <w:rsid w:val="00E109D5"/>
    <w:rsid w:val="00E110EF"/>
    <w:rsid w:val="00E1644E"/>
    <w:rsid w:val="00E25520"/>
    <w:rsid w:val="00E26ADD"/>
    <w:rsid w:val="00E303CE"/>
    <w:rsid w:val="00E304A0"/>
    <w:rsid w:val="00E30808"/>
    <w:rsid w:val="00E30ECB"/>
    <w:rsid w:val="00E32AA6"/>
    <w:rsid w:val="00E33260"/>
    <w:rsid w:val="00E33C1C"/>
    <w:rsid w:val="00E35A54"/>
    <w:rsid w:val="00E35B9B"/>
    <w:rsid w:val="00E35DC2"/>
    <w:rsid w:val="00E42172"/>
    <w:rsid w:val="00E4347C"/>
    <w:rsid w:val="00E441BE"/>
    <w:rsid w:val="00E45490"/>
    <w:rsid w:val="00E46EAB"/>
    <w:rsid w:val="00E50E6E"/>
    <w:rsid w:val="00E5269D"/>
    <w:rsid w:val="00E52BE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4BDB"/>
    <w:rsid w:val="00E75605"/>
    <w:rsid w:val="00E75BBE"/>
    <w:rsid w:val="00E77CD7"/>
    <w:rsid w:val="00E84428"/>
    <w:rsid w:val="00E84E0F"/>
    <w:rsid w:val="00E90E73"/>
    <w:rsid w:val="00E91A2A"/>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56D9"/>
    <w:rsid w:val="00EB5D95"/>
    <w:rsid w:val="00EB70FC"/>
    <w:rsid w:val="00EB790B"/>
    <w:rsid w:val="00EB7BDA"/>
    <w:rsid w:val="00EC3871"/>
    <w:rsid w:val="00EC3D33"/>
    <w:rsid w:val="00EC418F"/>
    <w:rsid w:val="00EC4BC6"/>
    <w:rsid w:val="00EC4DE3"/>
    <w:rsid w:val="00EC529A"/>
    <w:rsid w:val="00ED0B50"/>
    <w:rsid w:val="00ED0B7A"/>
    <w:rsid w:val="00ED190E"/>
    <w:rsid w:val="00ED3CEA"/>
    <w:rsid w:val="00ED70A3"/>
    <w:rsid w:val="00EE161D"/>
    <w:rsid w:val="00EE3272"/>
    <w:rsid w:val="00EE342E"/>
    <w:rsid w:val="00EE379D"/>
    <w:rsid w:val="00EE37BF"/>
    <w:rsid w:val="00EF1753"/>
    <w:rsid w:val="00EF19CC"/>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493"/>
    <w:rsid w:val="00F12928"/>
    <w:rsid w:val="00F13538"/>
    <w:rsid w:val="00F17218"/>
    <w:rsid w:val="00F1732E"/>
    <w:rsid w:val="00F23889"/>
    <w:rsid w:val="00F2444F"/>
    <w:rsid w:val="00F30D00"/>
    <w:rsid w:val="00F31506"/>
    <w:rsid w:val="00F32081"/>
    <w:rsid w:val="00F3329A"/>
    <w:rsid w:val="00F3366C"/>
    <w:rsid w:val="00F33BEC"/>
    <w:rsid w:val="00F33EE2"/>
    <w:rsid w:val="00F344C6"/>
    <w:rsid w:val="00F378C5"/>
    <w:rsid w:val="00F37E48"/>
    <w:rsid w:val="00F41ABD"/>
    <w:rsid w:val="00F45E93"/>
    <w:rsid w:val="00F5085B"/>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572D"/>
    <w:rsid w:val="00F7695F"/>
    <w:rsid w:val="00F76D51"/>
    <w:rsid w:val="00F80FBC"/>
    <w:rsid w:val="00F83007"/>
    <w:rsid w:val="00F9202D"/>
    <w:rsid w:val="00F949C9"/>
    <w:rsid w:val="00F97F91"/>
    <w:rsid w:val="00FA069B"/>
    <w:rsid w:val="00FA6FF6"/>
    <w:rsid w:val="00FA7BEC"/>
    <w:rsid w:val="00FA7E08"/>
    <w:rsid w:val="00FB0349"/>
    <w:rsid w:val="00FB14C7"/>
    <w:rsid w:val="00FB1B95"/>
    <w:rsid w:val="00FB1F3D"/>
    <w:rsid w:val="00FB361A"/>
    <w:rsid w:val="00FB7B7B"/>
    <w:rsid w:val="00FC0299"/>
    <w:rsid w:val="00FC0A8F"/>
    <w:rsid w:val="00FC2319"/>
    <w:rsid w:val="00FC4295"/>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652237"/>
    <w:rsid w:val="01881933"/>
    <w:rsid w:val="01A2719B"/>
    <w:rsid w:val="01AF2C21"/>
    <w:rsid w:val="02F33301"/>
    <w:rsid w:val="02FD4E76"/>
    <w:rsid w:val="03012A46"/>
    <w:rsid w:val="035F6345"/>
    <w:rsid w:val="036C34DA"/>
    <w:rsid w:val="03D355F0"/>
    <w:rsid w:val="03FA629B"/>
    <w:rsid w:val="05011011"/>
    <w:rsid w:val="053E62C7"/>
    <w:rsid w:val="05BF33B5"/>
    <w:rsid w:val="061F198A"/>
    <w:rsid w:val="07592143"/>
    <w:rsid w:val="076B4827"/>
    <w:rsid w:val="08FD0B6A"/>
    <w:rsid w:val="095B20FD"/>
    <w:rsid w:val="09F87FE5"/>
    <w:rsid w:val="0A8C7360"/>
    <w:rsid w:val="0B2B537E"/>
    <w:rsid w:val="0C6241B2"/>
    <w:rsid w:val="0CA12720"/>
    <w:rsid w:val="0CA911C7"/>
    <w:rsid w:val="0D2B4E23"/>
    <w:rsid w:val="0E2061B7"/>
    <w:rsid w:val="0E876D2F"/>
    <w:rsid w:val="0EC82FD7"/>
    <w:rsid w:val="0F8A2FA9"/>
    <w:rsid w:val="0FB34554"/>
    <w:rsid w:val="10181623"/>
    <w:rsid w:val="107930BF"/>
    <w:rsid w:val="107A6B7C"/>
    <w:rsid w:val="107E735A"/>
    <w:rsid w:val="124C3C1F"/>
    <w:rsid w:val="12A820AD"/>
    <w:rsid w:val="13377E0F"/>
    <w:rsid w:val="13945E07"/>
    <w:rsid w:val="15737884"/>
    <w:rsid w:val="15750C31"/>
    <w:rsid w:val="16B948A5"/>
    <w:rsid w:val="17211B14"/>
    <w:rsid w:val="173A6579"/>
    <w:rsid w:val="17D86D23"/>
    <w:rsid w:val="17F4775E"/>
    <w:rsid w:val="18AF15FD"/>
    <w:rsid w:val="18F44CAE"/>
    <w:rsid w:val="199974CA"/>
    <w:rsid w:val="19E94006"/>
    <w:rsid w:val="1ACA153B"/>
    <w:rsid w:val="1B053E8C"/>
    <w:rsid w:val="1BBF797C"/>
    <w:rsid w:val="1BD8798C"/>
    <w:rsid w:val="1DB63303"/>
    <w:rsid w:val="1DE26149"/>
    <w:rsid w:val="1DEE2CCA"/>
    <w:rsid w:val="1EB92EF2"/>
    <w:rsid w:val="1F17125C"/>
    <w:rsid w:val="1FAB30E7"/>
    <w:rsid w:val="2037683E"/>
    <w:rsid w:val="204227BB"/>
    <w:rsid w:val="20615234"/>
    <w:rsid w:val="20637B7A"/>
    <w:rsid w:val="20BB5045"/>
    <w:rsid w:val="21115412"/>
    <w:rsid w:val="21A61884"/>
    <w:rsid w:val="221B22F9"/>
    <w:rsid w:val="221D09FC"/>
    <w:rsid w:val="228E7281"/>
    <w:rsid w:val="22F91AE6"/>
    <w:rsid w:val="24364EC4"/>
    <w:rsid w:val="25590EC9"/>
    <w:rsid w:val="257F4BF0"/>
    <w:rsid w:val="25917440"/>
    <w:rsid w:val="25A13254"/>
    <w:rsid w:val="262F357C"/>
    <w:rsid w:val="2659211B"/>
    <w:rsid w:val="26653D1D"/>
    <w:rsid w:val="266C56F3"/>
    <w:rsid w:val="2680697D"/>
    <w:rsid w:val="26A26CEB"/>
    <w:rsid w:val="27235E7D"/>
    <w:rsid w:val="276F4E38"/>
    <w:rsid w:val="2834446C"/>
    <w:rsid w:val="28B84042"/>
    <w:rsid w:val="29864C3F"/>
    <w:rsid w:val="299D4A4C"/>
    <w:rsid w:val="2A1902C2"/>
    <w:rsid w:val="2C6224E4"/>
    <w:rsid w:val="2C995D0F"/>
    <w:rsid w:val="2D3E7816"/>
    <w:rsid w:val="2D7846FA"/>
    <w:rsid w:val="2DC36D5F"/>
    <w:rsid w:val="2E5B1B13"/>
    <w:rsid w:val="2F2E5F52"/>
    <w:rsid w:val="2F3E6548"/>
    <w:rsid w:val="2FF670DA"/>
    <w:rsid w:val="30481183"/>
    <w:rsid w:val="305D5724"/>
    <w:rsid w:val="30D974B7"/>
    <w:rsid w:val="31E01407"/>
    <w:rsid w:val="325F16D7"/>
    <w:rsid w:val="32AD73EB"/>
    <w:rsid w:val="333663C1"/>
    <w:rsid w:val="34375693"/>
    <w:rsid w:val="345F01FB"/>
    <w:rsid w:val="346848DB"/>
    <w:rsid w:val="351E319F"/>
    <w:rsid w:val="35482753"/>
    <w:rsid w:val="354F3A99"/>
    <w:rsid w:val="357B16F3"/>
    <w:rsid w:val="36050FAB"/>
    <w:rsid w:val="364A4B51"/>
    <w:rsid w:val="367176A6"/>
    <w:rsid w:val="36A24328"/>
    <w:rsid w:val="36DC6FE4"/>
    <w:rsid w:val="37000B19"/>
    <w:rsid w:val="385E4AD7"/>
    <w:rsid w:val="3A076D9E"/>
    <w:rsid w:val="3A3173ED"/>
    <w:rsid w:val="3B076549"/>
    <w:rsid w:val="3B82173E"/>
    <w:rsid w:val="3C5B75D3"/>
    <w:rsid w:val="3C7823C8"/>
    <w:rsid w:val="3CA42746"/>
    <w:rsid w:val="3D691AD5"/>
    <w:rsid w:val="3DCC4487"/>
    <w:rsid w:val="3DCD4AA7"/>
    <w:rsid w:val="3E474521"/>
    <w:rsid w:val="3E583AD2"/>
    <w:rsid w:val="3FD0292A"/>
    <w:rsid w:val="3FF77603"/>
    <w:rsid w:val="404F30BF"/>
    <w:rsid w:val="40DB38C9"/>
    <w:rsid w:val="413C763F"/>
    <w:rsid w:val="41B14926"/>
    <w:rsid w:val="41B46B47"/>
    <w:rsid w:val="41DA5117"/>
    <w:rsid w:val="424B79E0"/>
    <w:rsid w:val="425704D3"/>
    <w:rsid w:val="42DE7506"/>
    <w:rsid w:val="42FA2D1F"/>
    <w:rsid w:val="434963F7"/>
    <w:rsid w:val="436B2C00"/>
    <w:rsid w:val="439F612A"/>
    <w:rsid w:val="441344E9"/>
    <w:rsid w:val="444569BF"/>
    <w:rsid w:val="44842956"/>
    <w:rsid w:val="44B922E9"/>
    <w:rsid w:val="45086E27"/>
    <w:rsid w:val="462C77FE"/>
    <w:rsid w:val="465E02D2"/>
    <w:rsid w:val="48120ABB"/>
    <w:rsid w:val="4855725D"/>
    <w:rsid w:val="48FC1957"/>
    <w:rsid w:val="499D4ACB"/>
    <w:rsid w:val="4AED5A83"/>
    <w:rsid w:val="4BC1413C"/>
    <w:rsid w:val="4C656785"/>
    <w:rsid w:val="4DFA18E0"/>
    <w:rsid w:val="4DFD24AF"/>
    <w:rsid w:val="4E822997"/>
    <w:rsid w:val="4ED20DFA"/>
    <w:rsid w:val="4F0F5DA2"/>
    <w:rsid w:val="4F397E6D"/>
    <w:rsid w:val="4FBF4158"/>
    <w:rsid w:val="4FFE0E94"/>
    <w:rsid w:val="504C2BE7"/>
    <w:rsid w:val="51174B5C"/>
    <w:rsid w:val="51B50E5A"/>
    <w:rsid w:val="525C4A73"/>
    <w:rsid w:val="53384EC9"/>
    <w:rsid w:val="54285E4C"/>
    <w:rsid w:val="55306CD3"/>
    <w:rsid w:val="554830C1"/>
    <w:rsid w:val="56300F3A"/>
    <w:rsid w:val="56393E37"/>
    <w:rsid w:val="56B4262E"/>
    <w:rsid w:val="56F55D35"/>
    <w:rsid w:val="57C94BFF"/>
    <w:rsid w:val="5807041D"/>
    <w:rsid w:val="583F79D3"/>
    <w:rsid w:val="58691989"/>
    <w:rsid w:val="58F960F8"/>
    <w:rsid w:val="59264D13"/>
    <w:rsid w:val="5B573321"/>
    <w:rsid w:val="5C1E1084"/>
    <w:rsid w:val="5DC543A2"/>
    <w:rsid w:val="5EE27322"/>
    <w:rsid w:val="5F736EDC"/>
    <w:rsid w:val="60921071"/>
    <w:rsid w:val="60F035C2"/>
    <w:rsid w:val="623446C7"/>
    <w:rsid w:val="633441F6"/>
    <w:rsid w:val="6352429E"/>
    <w:rsid w:val="63A94A71"/>
    <w:rsid w:val="63E45615"/>
    <w:rsid w:val="6457311E"/>
    <w:rsid w:val="645A1DAF"/>
    <w:rsid w:val="64940258"/>
    <w:rsid w:val="64940A1E"/>
    <w:rsid w:val="654E3E40"/>
    <w:rsid w:val="67535261"/>
    <w:rsid w:val="69021DF3"/>
    <w:rsid w:val="69267541"/>
    <w:rsid w:val="698348FA"/>
    <w:rsid w:val="69AD4D95"/>
    <w:rsid w:val="6A1720C7"/>
    <w:rsid w:val="6A315ABB"/>
    <w:rsid w:val="6A43654D"/>
    <w:rsid w:val="6A827113"/>
    <w:rsid w:val="6A87598F"/>
    <w:rsid w:val="6D367190"/>
    <w:rsid w:val="6D9B31CD"/>
    <w:rsid w:val="6E1970B9"/>
    <w:rsid w:val="6E45564D"/>
    <w:rsid w:val="6F763902"/>
    <w:rsid w:val="6FE30FB3"/>
    <w:rsid w:val="703849D5"/>
    <w:rsid w:val="711712EF"/>
    <w:rsid w:val="7180640A"/>
    <w:rsid w:val="71896340"/>
    <w:rsid w:val="71A978B5"/>
    <w:rsid w:val="71F35AC2"/>
    <w:rsid w:val="72B81640"/>
    <w:rsid w:val="72DA2E30"/>
    <w:rsid w:val="741B5852"/>
    <w:rsid w:val="745F4EB9"/>
    <w:rsid w:val="74B57A97"/>
    <w:rsid w:val="7574564B"/>
    <w:rsid w:val="75BD508E"/>
    <w:rsid w:val="77A946B8"/>
    <w:rsid w:val="77B14F43"/>
    <w:rsid w:val="792A1CCE"/>
    <w:rsid w:val="793439F5"/>
    <w:rsid w:val="796E3D99"/>
    <w:rsid w:val="7B8D7C88"/>
    <w:rsid w:val="7BE31831"/>
    <w:rsid w:val="7C252C88"/>
    <w:rsid w:val="7C764322"/>
    <w:rsid w:val="7D7773AC"/>
    <w:rsid w:val="7DCA16A4"/>
    <w:rsid w:val="7E696C29"/>
    <w:rsid w:val="7E6D0CC7"/>
    <w:rsid w:val="7E863C64"/>
    <w:rsid w:val="7EEF7FE1"/>
    <w:rsid w:val="7F67167B"/>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1"/>
    <w:qFormat/>
    <w:uiPriority w:val="0"/>
    <w:pPr>
      <w:keepNext/>
      <w:keepLines/>
      <w:spacing w:line="576" w:lineRule="auto"/>
      <w:outlineLvl w:val="0"/>
    </w:pPr>
    <w:rPr>
      <w:b/>
      <w:bCs/>
      <w:kern w:val="44"/>
      <w:sz w:val="44"/>
      <w:szCs w:val="44"/>
    </w:rPr>
  </w:style>
  <w:style w:type="paragraph" w:styleId="4">
    <w:name w:val="heading 2"/>
    <w:basedOn w:val="1"/>
    <w:next w:val="1"/>
    <w:link w:val="147"/>
    <w:qFormat/>
    <w:uiPriority w:val="0"/>
    <w:pPr>
      <w:keepNext/>
      <w:keepLines/>
      <w:spacing w:line="415" w:lineRule="auto"/>
      <w:outlineLvl w:val="1"/>
    </w:pPr>
    <w:rPr>
      <w:rFonts w:ascii="Arial" w:hAnsi="Arial" w:eastAsia="黑体"/>
      <w:b/>
      <w:bCs/>
      <w:sz w:val="32"/>
      <w:szCs w:val="32"/>
    </w:rPr>
  </w:style>
  <w:style w:type="paragraph" w:styleId="5">
    <w:name w:val="heading 3"/>
    <w:basedOn w:val="1"/>
    <w:next w:val="1"/>
    <w:link w:val="127"/>
    <w:qFormat/>
    <w:uiPriority w:val="0"/>
    <w:pPr>
      <w:keepNext/>
      <w:keepLines/>
      <w:spacing w:line="415" w:lineRule="auto"/>
      <w:outlineLvl w:val="2"/>
    </w:pPr>
    <w:rPr>
      <w:b/>
      <w:bCs/>
      <w:sz w:val="32"/>
      <w:szCs w:val="32"/>
    </w:rPr>
  </w:style>
  <w:style w:type="paragraph" w:styleId="6">
    <w:name w:val="heading 4"/>
    <w:basedOn w:val="1"/>
    <w:next w:val="1"/>
    <w:link w:val="139"/>
    <w:qFormat/>
    <w:uiPriority w:val="0"/>
    <w:pPr>
      <w:keepNext/>
      <w:keepLines/>
      <w:spacing w:line="374" w:lineRule="auto"/>
      <w:outlineLvl w:val="3"/>
    </w:pPr>
    <w:rPr>
      <w:rFonts w:ascii="Arial" w:hAnsi="Arial" w:eastAsia="黑体"/>
      <w:b/>
      <w:bCs/>
      <w:sz w:val="28"/>
      <w:szCs w:val="28"/>
    </w:rPr>
  </w:style>
  <w:style w:type="paragraph" w:styleId="7">
    <w:name w:val="heading 5"/>
    <w:basedOn w:val="1"/>
    <w:next w:val="1"/>
    <w:link w:val="126"/>
    <w:qFormat/>
    <w:uiPriority w:val="0"/>
    <w:pPr>
      <w:keepNext/>
      <w:keepLines/>
      <w:spacing w:before="280" w:after="290" w:line="372" w:lineRule="auto"/>
      <w:outlineLvl w:val="4"/>
    </w:pPr>
    <w:rPr>
      <w:rFonts w:ascii="Calibri" w:hAnsi="Calibri"/>
      <w:b/>
      <w:bCs/>
      <w:sz w:val="28"/>
      <w:szCs w:val="28"/>
    </w:rPr>
  </w:style>
  <w:style w:type="paragraph" w:styleId="8">
    <w:name w:val="heading 6"/>
    <w:basedOn w:val="1"/>
    <w:next w:val="1"/>
    <w:link w:val="146"/>
    <w:qFormat/>
    <w:uiPriority w:val="0"/>
    <w:pPr>
      <w:keepNext/>
      <w:keepLines/>
      <w:widowControl/>
      <w:tabs>
        <w:tab w:val="left" w:pos="1440"/>
      </w:tabs>
      <w:spacing w:line="319" w:lineRule="auto"/>
      <w:ind w:left="1152" w:hanging="1152"/>
      <w:jc w:val="left"/>
      <w:outlineLvl w:val="5"/>
    </w:pPr>
    <w:rPr>
      <w:rFonts w:ascii="Arial" w:hAnsi="Arial" w:eastAsia="黑体"/>
      <w:b/>
      <w:bCs/>
      <w:kern w:val="0"/>
      <w:sz w:val="24"/>
    </w:rPr>
  </w:style>
  <w:style w:type="paragraph" w:styleId="9">
    <w:name w:val="heading 7"/>
    <w:basedOn w:val="1"/>
    <w:next w:val="1"/>
    <w:link w:val="145"/>
    <w:qFormat/>
    <w:uiPriority w:val="0"/>
    <w:pPr>
      <w:keepNext/>
      <w:keepLines/>
      <w:widowControl/>
      <w:tabs>
        <w:tab w:val="left" w:pos="2520"/>
      </w:tabs>
      <w:spacing w:line="319" w:lineRule="auto"/>
      <w:ind w:left="1296" w:hanging="1296"/>
      <w:jc w:val="left"/>
      <w:outlineLvl w:val="6"/>
    </w:pPr>
    <w:rPr>
      <w:b/>
      <w:bCs/>
      <w:kern w:val="0"/>
      <w:sz w:val="24"/>
    </w:rPr>
  </w:style>
  <w:style w:type="paragraph" w:styleId="10">
    <w:name w:val="heading 8"/>
    <w:basedOn w:val="1"/>
    <w:next w:val="1"/>
    <w:link w:val="150"/>
    <w:qFormat/>
    <w:uiPriority w:val="0"/>
    <w:pPr>
      <w:keepNext/>
      <w:keepLines/>
      <w:widowControl/>
      <w:tabs>
        <w:tab w:val="left" w:pos="1440"/>
      </w:tabs>
      <w:spacing w:line="319" w:lineRule="auto"/>
      <w:ind w:left="1440" w:hanging="1440"/>
      <w:jc w:val="left"/>
      <w:outlineLvl w:val="7"/>
    </w:pPr>
    <w:rPr>
      <w:rFonts w:ascii="Arial" w:hAnsi="Arial" w:eastAsia="黑体"/>
      <w:kern w:val="0"/>
      <w:sz w:val="24"/>
    </w:rPr>
  </w:style>
  <w:style w:type="paragraph" w:styleId="11">
    <w:name w:val="heading 9"/>
    <w:basedOn w:val="1"/>
    <w:next w:val="1"/>
    <w:link w:val="114"/>
    <w:qFormat/>
    <w:uiPriority w:val="0"/>
    <w:pPr>
      <w:keepNext/>
      <w:keepLines/>
      <w:widowControl/>
      <w:tabs>
        <w:tab w:val="left" w:pos="1584"/>
      </w:tabs>
      <w:spacing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129"/>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119"/>
    <w:qFormat/>
    <w:uiPriority w:val="0"/>
    <w:pPr>
      <w:shd w:val="clear" w:color="auto" w:fill="000080"/>
    </w:pPr>
  </w:style>
  <w:style w:type="paragraph" w:styleId="17">
    <w:name w:val="annotation text"/>
    <w:basedOn w:val="1"/>
    <w:link w:val="113"/>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20"/>
    <w:next w:val="20"/>
    <w:link w:val="125"/>
    <w:qFormat/>
    <w:uiPriority w:val="0"/>
    <w:rPr>
      <w:rFonts w:ascii="Times New Roman" w:cs="Times New Roman"/>
      <w:color w:val="auto"/>
      <w:kern w:val="2"/>
      <w:sz w:val="21"/>
    </w:rPr>
  </w:style>
  <w:style w:type="paragraph" w:customStyle="1" w:styleId="2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21">
    <w:name w:val="Body Text Indent"/>
    <w:basedOn w:val="1"/>
    <w:qFormat/>
    <w:uiPriority w:val="0"/>
    <w:pPr>
      <w:ind w:left="420" w:leftChars="200"/>
    </w:p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132"/>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133"/>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138"/>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line="420" w:lineRule="atLeast"/>
      <w:jc w:val="center"/>
      <w:textAlignment w:val="baseline"/>
      <w:outlineLvl w:val="0"/>
    </w:pPr>
    <w:rPr>
      <w:rFonts w:ascii="Arial" w:hAnsi="Arial"/>
      <w:b/>
      <w:kern w:val="0"/>
      <w:sz w:val="32"/>
      <w:szCs w:val="20"/>
    </w:rPr>
  </w:style>
  <w:style w:type="paragraph" w:styleId="46">
    <w:name w:val="annotation subject"/>
    <w:basedOn w:val="17"/>
    <w:next w:val="17"/>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paragraph" w:customStyle="1" w:styleId="57">
    <w:name w:val="样式3"/>
    <w:basedOn w:val="5"/>
    <w:qFormat/>
    <w:uiPriority w:val="0"/>
    <w:rPr>
      <w:rFonts w:eastAsia="Arial"/>
    </w:rPr>
  </w:style>
  <w:style w:type="paragraph" w:customStyle="1" w:styleId="58">
    <w:name w:val="Char4"/>
    <w:basedOn w:val="1"/>
    <w:qFormat/>
    <w:uiPriority w:val="0"/>
    <w:pPr>
      <w:spacing w:line="360" w:lineRule="auto"/>
      <w:ind w:firstLine="200" w:firstLineChars="200"/>
    </w:pPr>
    <w:rPr>
      <w:rFonts w:ascii="Arial" w:hAnsi="Arial" w:cs="Arial"/>
      <w:sz w:val="24"/>
    </w:rPr>
  </w:style>
  <w:style w:type="paragraph" w:customStyle="1" w:styleId="59">
    <w:name w:val="标题4"/>
    <w:basedOn w:val="4"/>
    <w:next w:val="23"/>
    <w:link w:val="136"/>
    <w:qFormat/>
    <w:uiPriority w:val="0"/>
    <w:pPr>
      <w:spacing w:line="413" w:lineRule="auto"/>
    </w:pPr>
    <w:rPr>
      <w:rFonts w:eastAsia="宋体"/>
      <w:kern w:val="0"/>
      <w:sz w:val="24"/>
    </w:rPr>
  </w:style>
  <w:style w:type="paragraph" w:customStyle="1" w:styleId="60">
    <w:name w:val="正文1"/>
    <w:qFormat/>
    <w:uiPriority w:val="0"/>
    <w:pPr>
      <w:widowControl w:val="0"/>
      <w:adjustRightInd w:val="0"/>
      <w:spacing w:line="312" w:lineRule="atLeast"/>
      <w:jc w:val="both"/>
    </w:pPr>
    <w:rPr>
      <w:rFonts w:hint="eastAsia" w:ascii="宋体" w:hAnsi="Times New Roman" w:eastAsia="宋体" w:cs="Times New Roman"/>
      <w:sz w:val="34"/>
      <w:lang w:val="en-US" w:eastAsia="zh-CN" w:bidi="ar-SA"/>
    </w:rPr>
  </w:style>
  <w:style w:type="paragraph" w:customStyle="1" w:styleId="61">
    <w:name w:val="Char Char Char Char Char"/>
    <w:basedOn w:val="1"/>
    <w:qFormat/>
    <w:uiPriority w:val="0"/>
    <w:pPr>
      <w:tabs>
        <w:tab w:val="left" w:pos="1360"/>
      </w:tabs>
      <w:ind w:left="1360" w:hanging="720"/>
    </w:pPr>
    <w:rPr>
      <w:szCs w:val="20"/>
    </w:rPr>
  </w:style>
  <w:style w:type="paragraph" w:customStyle="1" w:styleId="62">
    <w:name w:val="XW编号正文"/>
    <w:basedOn w:val="63"/>
    <w:qFormat/>
    <w:uiPriority w:val="0"/>
    <w:pPr>
      <w:numPr>
        <w:ilvl w:val="0"/>
        <w:numId w:val="1"/>
      </w:numPr>
      <w:tabs>
        <w:tab w:val="left" w:pos="1035"/>
        <w:tab w:val="left" w:pos="1134"/>
      </w:tabs>
      <w:ind w:left="1035" w:hanging="720"/>
      <w:jc w:val="left"/>
    </w:pPr>
  </w:style>
  <w:style w:type="paragraph" w:customStyle="1" w:styleId="63">
    <w:name w:val="XW正文"/>
    <w:basedOn w:val="21"/>
    <w:qFormat/>
    <w:uiPriority w:val="0"/>
    <w:pPr>
      <w:adjustRightInd w:val="0"/>
      <w:spacing w:line="300" w:lineRule="auto"/>
      <w:ind w:left="0" w:leftChars="0" w:firstLine="454"/>
      <w:textAlignment w:val="baseline"/>
    </w:pPr>
    <w:rPr>
      <w:szCs w:val="20"/>
    </w:rPr>
  </w:style>
  <w:style w:type="paragraph" w:customStyle="1" w:styleId="64">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5">
    <w:name w:val="A1"/>
    <w:basedOn w:val="26"/>
    <w:qFormat/>
    <w:uiPriority w:val="0"/>
    <w:pPr>
      <w:spacing w:line="300" w:lineRule="auto"/>
      <w:jc w:val="center"/>
    </w:pPr>
    <w:rPr>
      <w:rFonts w:ascii="黑体" w:eastAsia="黑体"/>
      <w:sz w:val="52"/>
      <w:szCs w:val="21"/>
    </w:rPr>
  </w:style>
  <w:style w:type="paragraph" w:customStyle="1" w:styleId="66">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67">
    <w:name w:val="p0"/>
    <w:basedOn w:val="1"/>
    <w:qFormat/>
    <w:uiPriority w:val="0"/>
    <w:pPr>
      <w:widowControl/>
    </w:pPr>
    <w:rPr>
      <w:kern w:val="0"/>
      <w:szCs w:val="21"/>
    </w:rPr>
  </w:style>
  <w:style w:type="paragraph" w:customStyle="1" w:styleId="6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69">
    <w:name w:val="彩色网格 - 强调文字颜色 11"/>
    <w:basedOn w:val="1"/>
    <w:next w:val="1"/>
    <w:link w:val="153"/>
    <w:qFormat/>
    <w:uiPriority w:val="0"/>
    <w:rPr>
      <w:i/>
      <w:iCs/>
      <w:color w:val="000000"/>
      <w:szCs w:val="22"/>
    </w:rPr>
  </w:style>
  <w:style w:type="paragraph" w:customStyle="1" w:styleId="70">
    <w:name w:val="A2"/>
    <w:basedOn w:val="26"/>
    <w:qFormat/>
    <w:uiPriority w:val="0"/>
    <w:pPr>
      <w:spacing w:line="300" w:lineRule="auto"/>
      <w:jc w:val="left"/>
    </w:pPr>
    <w:rPr>
      <w:rFonts w:ascii="黑体" w:eastAsia="黑体"/>
      <w:szCs w:val="21"/>
    </w:rPr>
  </w:style>
  <w:style w:type="paragraph" w:customStyle="1" w:styleId="71">
    <w:name w:val="Char"/>
    <w:basedOn w:val="1"/>
    <w:qFormat/>
    <w:uiPriority w:val="0"/>
  </w:style>
  <w:style w:type="paragraph" w:customStyle="1" w:styleId="72">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73">
    <w:name w:val="样式 标题 1 + 黑体 三号 非加粗 居中 段前: 6 磅 段后: 6 磅 行距: 固定值 20 磅"/>
    <w:basedOn w:val="3"/>
    <w:qFormat/>
    <w:uiPriority w:val="0"/>
    <w:pPr>
      <w:spacing w:line="400" w:lineRule="exact"/>
      <w:jc w:val="center"/>
    </w:pPr>
    <w:rPr>
      <w:rFonts w:ascii="黑体" w:hAnsi="黑体" w:eastAsia="黑体" w:cs="宋体"/>
      <w:b w:val="0"/>
      <w:bCs w:val="0"/>
      <w:sz w:val="32"/>
      <w:szCs w:val="20"/>
    </w:rPr>
  </w:style>
  <w:style w:type="paragraph" w:customStyle="1" w:styleId="74">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75">
    <w:name w:val="目录"/>
    <w:basedOn w:val="1"/>
    <w:qFormat/>
    <w:uiPriority w:val="0"/>
    <w:pPr>
      <w:widowControl/>
      <w:jc w:val="center"/>
    </w:pPr>
    <w:rPr>
      <w:rFonts w:hint="eastAsia" w:ascii="宋体"/>
      <w:b/>
      <w:kern w:val="0"/>
      <w:sz w:val="36"/>
      <w:szCs w:val="20"/>
    </w:rPr>
  </w:style>
  <w:style w:type="paragraph" w:customStyle="1" w:styleId="76">
    <w:name w:val="标题5"/>
    <w:basedOn w:val="5"/>
    <w:link w:val="142"/>
    <w:qFormat/>
    <w:uiPriority w:val="0"/>
    <w:pPr>
      <w:spacing w:line="413" w:lineRule="auto"/>
    </w:pPr>
    <w:rPr>
      <w:rFonts w:ascii="Arial" w:hAnsi="Arial"/>
      <w:kern w:val="0"/>
      <w:sz w:val="24"/>
    </w:rPr>
  </w:style>
  <w:style w:type="paragraph" w:customStyle="1" w:styleId="7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78">
    <w:name w:val="表格文字"/>
    <w:basedOn w:val="1"/>
    <w:qFormat/>
    <w:uiPriority w:val="0"/>
    <w:pPr>
      <w:adjustRightInd w:val="0"/>
      <w:spacing w:line="420" w:lineRule="atLeast"/>
      <w:jc w:val="left"/>
      <w:textAlignment w:val="baseline"/>
    </w:pPr>
    <w:rPr>
      <w:kern w:val="0"/>
      <w:szCs w:val="20"/>
    </w:rPr>
  </w:style>
  <w:style w:type="paragraph" w:customStyle="1" w:styleId="79">
    <w:name w:val="样式 标题 2 + Times New Roman 四号 非加粗 段前: 5 磅 段后: 0 磅 行距: 固定值 20..."/>
    <w:basedOn w:val="4"/>
    <w:qFormat/>
    <w:uiPriority w:val="0"/>
    <w:pPr>
      <w:spacing w:line="400" w:lineRule="exact"/>
    </w:pPr>
    <w:rPr>
      <w:rFonts w:ascii="Times New Roman" w:hAnsi="Times New Roman" w:cs="宋体"/>
      <w:b w:val="0"/>
      <w:bCs w:val="0"/>
      <w:sz w:val="28"/>
      <w:szCs w:val="20"/>
    </w:rPr>
  </w:style>
  <w:style w:type="paragraph" w:customStyle="1" w:styleId="8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81">
    <w:name w:val="彩色列表 - 强调文字颜色 11"/>
    <w:basedOn w:val="1"/>
    <w:qFormat/>
    <w:uiPriority w:val="0"/>
    <w:pPr>
      <w:ind w:firstLine="420" w:firstLineChars="200"/>
    </w:pPr>
    <w:rPr>
      <w:rFonts w:ascii="Calibri" w:hAnsi="Calibri"/>
      <w:szCs w:val="22"/>
    </w:rPr>
  </w:style>
  <w:style w:type="paragraph" w:customStyle="1" w:styleId="82">
    <w:name w:val="样式1"/>
    <w:basedOn w:val="5"/>
    <w:qFormat/>
    <w:uiPriority w:val="0"/>
    <w:rPr>
      <w:rFonts w:eastAsia="Arial"/>
    </w:rPr>
  </w:style>
  <w:style w:type="paragraph" w:customStyle="1" w:styleId="83">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84">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85">
    <w:name w:val="中等深浅网格 2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6">
    <w:name w:val="样式2"/>
    <w:basedOn w:val="5"/>
    <w:qFormat/>
    <w:uiPriority w:val="0"/>
  </w:style>
  <w:style w:type="paragraph" w:customStyle="1" w:styleId="87">
    <w:name w:val="1"/>
    <w:basedOn w:val="1"/>
    <w:next w:val="1"/>
    <w:qFormat/>
    <w:uiPriority w:val="0"/>
  </w:style>
  <w:style w:type="paragraph" w:customStyle="1" w:styleId="88">
    <w:name w:val="A3"/>
    <w:basedOn w:val="65"/>
    <w:qFormat/>
    <w:uiPriority w:val="0"/>
    <w:rPr>
      <w:sz w:val="21"/>
    </w:rPr>
  </w:style>
  <w:style w:type="paragraph" w:customStyle="1" w:styleId="89">
    <w:name w:val="样式4"/>
    <w:basedOn w:val="5"/>
    <w:qFormat/>
    <w:uiPriority w:val="0"/>
    <w:rPr>
      <w:rFonts w:eastAsia="Arial"/>
    </w:rPr>
  </w:style>
  <w:style w:type="paragraph" w:customStyle="1" w:styleId="90">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9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92">
    <w:name w:val="默认段落字体 Para Char Char Char Char"/>
    <w:basedOn w:val="1"/>
    <w:qFormat/>
    <w:uiPriority w:val="0"/>
  </w:style>
  <w:style w:type="paragraph" w:customStyle="1" w:styleId="93">
    <w:name w:val="浅色底纹 - 强调文字颜色 21"/>
    <w:basedOn w:val="1"/>
    <w:next w:val="1"/>
    <w:link w:val="123"/>
    <w:qFormat/>
    <w:uiPriority w:val="0"/>
    <w:pPr>
      <w:pBdr>
        <w:bottom w:val="single" w:color="4F81BD" w:sz="4" w:space="4"/>
      </w:pBdr>
      <w:spacing w:before="200" w:after="280"/>
      <w:ind w:left="936" w:right="936"/>
    </w:pPr>
    <w:rPr>
      <w:b/>
      <w:bCs/>
      <w:i/>
      <w:iCs/>
      <w:color w:val="4F81BD"/>
      <w:szCs w:val="22"/>
    </w:rPr>
  </w:style>
  <w:style w:type="paragraph" w:customStyle="1" w:styleId="94">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95">
    <w:name w:val="目录标题"/>
    <w:basedOn w:val="3"/>
    <w:next w:val="1"/>
    <w:qFormat/>
    <w:uiPriority w:val="0"/>
    <w:pPr>
      <w:outlineLvl w:val="9"/>
    </w:pPr>
    <w:rPr>
      <w:rFonts w:ascii="Calibri" w:hAnsi="Calibri"/>
    </w:rPr>
  </w:style>
  <w:style w:type="paragraph" w:customStyle="1" w:styleId="96">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97">
    <w:name w:val="表格"/>
    <w:basedOn w:val="1"/>
    <w:qFormat/>
    <w:uiPriority w:val="0"/>
    <w:pPr>
      <w:jc w:val="center"/>
      <w:textAlignment w:val="center"/>
    </w:pPr>
    <w:rPr>
      <w:rFonts w:ascii="华文细黑" w:hAnsi="华文细黑"/>
      <w:kern w:val="0"/>
      <w:szCs w:val="20"/>
    </w:rPr>
  </w:style>
  <w:style w:type="paragraph" w:customStyle="1" w:styleId="98">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99">
    <w:name w:val="表头"/>
    <w:basedOn w:val="1"/>
    <w:qFormat/>
    <w:uiPriority w:val="0"/>
    <w:pPr>
      <w:snapToGrid w:val="0"/>
      <w:spacing w:line="300" w:lineRule="auto"/>
      <w:ind w:right="420"/>
    </w:pPr>
    <w:rPr>
      <w:rFonts w:ascii="仿宋_GB2312"/>
      <w:kern w:val="0"/>
      <w:szCs w:val="21"/>
    </w:rPr>
  </w:style>
  <w:style w:type="paragraph" w:customStyle="1" w:styleId="100">
    <w:name w:val="样式 标题 3 + (中文) 黑体 小四 非加粗 段前: 7.8 磅 段后: 0 磅 行距: 固定值 20 磅"/>
    <w:basedOn w:val="5"/>
    <w:qFormat/>
    <w:uiPriority w:val="0"/>
    <w:pPr>
      <w:spacing w:line="400" w:lineRule="exact"/>
    </w:pPr>
    <w:rPr>
      <w:rFonts w:eastAsia="黑体" w:cs="宋体"/>
      <w:b w:val="0"/>
      <w:bCs w:val="0"/>
      <w:sz w:val="24"/>
      <w:szCs w:val="20"/>
    </w:rPr>
  </w:style>
  <w:style w:type="paragraph" w:customStyle="1" w:styleId="101">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02">
    <w:name w:val="Char1"/>
    <w:basedOn w:val="1"/>
    <w:qFormat/>
    <w:uiPriority w:val="0"/>
    <w:pPr>
      <w:tabs>
        <w:tab w:val="left" w:pos="360"/>
      </w:tabs>
    </w:pPr>
    <w:rPr>
      <w:sz w:val="24"/>
    </w:rPr>
  </w:style>
  <w:style w:type="paragraph" w:customStyle="1" w:styleId="10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04">
    <w:name w:val="菲页(卷)"/>
    <w:basedOn w:val="3"/>
    <w:next w:val="60"/>
    <w:qFormat/>
    <w:uiPriority w:val="0"/>
    <w:pPr>
      <w:keepLines w:val="0"/>
      <w:widowControl/>
      <w:tabs>
        <w:tab w:val="left" w:pos="432"/>
      </w:tabs>
      <w:spacing w:line="240" w:lineRule="auto"/>
      <w:ind w:left="432" w:hanging="432"/>
      <w:jc w:val="center"/>
      <w:outlineLvl w:val="1"/>
    </w:pPr>
    <w:rPr>
      <w:rFonts w:hint="eastAsia" w:ascii="黑体" w:eastAsia="黑体"/>
      <w:b w:val="0"/>
      <w:bCs w:val="0"/>
      <w:kern w:val="0"/>
      <w:sz w:val="52"/>
      <w:szCs w:val="20"/>
    </w:rPr>
  </w:style>
  <w:style w:type="paragraph" w:customStyle="1" w:styleId="105">
    <w:name w:val="目录文字"/>
    <w:basedOn w:val="1"/>
    <w:qFormat/>
    <w:uiPriority w:val="0"/>
    <w:pPr>
      <w:widowControl/>
      <w:spacing w:line="480" w:lineRule="auto"/>
      <w:jc w:val="left"/>
    </w:pPr>
    <w:rPr>
      <w:rFonts w:hint="eastAsia" w:ascii="宋体" w:hAnsi="宋体"/>
      <w:kern w:val="0"/>
      <w:sz w:val="24"/>
      <w:szCs w:val="20"/>
    </w:rPr>
  </w:style>
  <w:style w:type="character" w:customStyle="1" w:styleId="106">
    <w:name w:val="Char Char19"/>
    <w:qFormat/>
    <w:uiPriority w:val="0"/>
    <w:rPr>
      <w:rFonts w:ascii="黑体" w:hAnsi="宋体" w:eastAsia="黑体"/>
      <w:sz w:val="52"/>
      <w:lang w:val="en-US" w:eastAsia="zh-CN" w:bidi="ar-SA"/>
    </w:rPr>
  </w:style>
  <w:style w:type="character" w:customStyle="1" w:styleId="107">
    <w:name w:val="日期 Char1"/>
    <w:qFormat/>
    <w:uiPriority w:val="0"/>
    <w:rPr>
      <w:kern w:val="2"/>
      <w:sz w:val="21"/>
      <w:szCs w:val="22"/>
    </w:rPr>
  </w:style>
  <w:style w:type="character" w:customStyle="1" w:styleId="108">
    <w:name w:val="_Style 106"/>
    <w:qFormat/>
    <w:uiPriority w:val="0"/>
    <w:rPr>
      <w:i/>
      <w:iCs/>
      <w:color w:val="808080"/>
    </w:rPr>
  </w:style>
  <w:style w:type="character" w:customStyle="1" w:styleId="109">
    <w:name w:val="4号宋体左齐行距1.5倍 Char"/>
    <w:qFormat/>
    <w:uiPriority w:val="0"/>
    <w:rPr>
      <w:rFonts w:eastAsia="宋体"/>
      <w:b/>
      <w:sz w:val="32"/>
      <w:lang w:val="en-US" w:eastAsia="zh-CN" w:bidi="ar-SA"/>
    </w:rPr>
  </w:style>
  <w:style w:type="character" w:customStyle="1" w:styleId="110">
    <w:name w:val="Para head"/>
    <w:qFormat/>
    <w:uiPriority w:val="0"/>
    <w:rPr>
      <w:rFonts w:ascii="Arial" w:hAnsi="Arial" w:eastAsia="Times New Roman"/>
      <w:sz w:val="20"/>
    </w:rPr>
  </w:style>
  <w:style w:type="character" w:customStyle="1" w:styleId="111">
    <w:name w:val="Char Char2"/>
    <w:qFormat/>
    <w:uiPriority w:val="0"/>
    <w:rPr>
      <w:rFonts w:eastAsia="宋体"/>
      <w:kern w:val="2"/>
      <w:sz w:val="21"/>
      <w:szCs w:val="24"/>
      <w:lang w:val="en-US" w:eastAsia="zh-CN" w:bidi="ar-SA"/>
    </w:rPr>
  </w:style>
  <w:style w:type="character" w:customStyle="1" w:styleId="112">
    <w:name w:val="Char Char18"/>
    <w:qFormat/>
    <w:uiPriority w:val="0"/>
    <w:rPr>
      <w:b/>
      <w:bCs/>
      <w:kern w:val="44"/>
      <w:sz w:val="44"/>
      <w:szCs w:val="44"/>
    </w:rPr>
  </w:style>
  <w:style w:type="character" w:customStyle="1" w:styleId="113">
    <w:name w:val="批注文字 Char"/>
    <w:link w:val="17"/>
    <w:qFormat/>
    <w:uiPriority w:val="0"/>
    <w:rPr>
      <w:rFonts w:eastAsia="宋体"/>
      <w:kern w:val="2"/>
      <w:sz w:val="21"/>
      <w:szCs w:val="24"/>
      <w:lang w:val="en-US" w:eastAsia="zh-CN" w:bidi="ar-SA"/>
    </w:rPr>
  </w:style>
  <w:style w:type="character" w:customStyle="1" w:styleId="114">
    <w:name w:val="标题 9 Char"/>
    <w:link w:val="11"/>
    <w:qFormat/>
    <w:uiPriority w:val="0"/>
    <w:rPr>
      <w:rFonts w:ascii="Arial" w:hAnsi="Arial" w:eastAsia="黑体"/>
      <w:sz w:val="21"/>
      <w:szCs w:val="21"/>
      <w:lang w:val="en-US" w:eastAsia="zh-CN" w:bidi="ar-SA"/>
    </w:rPr>
  </w:style>
  <w:style w:type="character" w:customStyle="1" w:styleId="115">
    <w:name w:val="apple-converted-space"/>
    <w:qFormat/>
    <w:uiPriority w:val="0"/>
  </w:style>
  <w:style w:type="character" w:customStyle="1" w:styleId="116">
    <w:name w:val="批注主题 Char1"/>
    <w:qFormat/>
    <w:uiPriority w:val="0"/>
    <w:rPr>
      <w:b/>
      <w:bCs/>
      <w:kern w:val="2"/>
      <w:sz w:val="21"/>
      <w:szCs w:val="22"/>
    </w:rPr>
  </w:style>
  <w:style w:type="character" w:customStyle="1" w:styleId="117">
    <w:name w:val="Char Char"/>
    <w:qFormat/>
    <w:uiPriority w:val="0"/>
    <w:rPr>
      <w:rFonts w:ascii="Arial" w:hAnsi="Arial" w:eastAsia="黑体"/>
      <w:b/>
      <w:bCs/>
      <w:kern w:val="2"/>
      <w:sz w:val="32"/>
      <w:szCs w:val="32"/>
      <w:lang w:val="en-US" w:eastAsia="zh-CN" w:bidi="ar-SA"/>
    </w:rPr>
  </w:style>
  <w:style w:type="character" w:customStyle="1" w:styleId="118">
    <w:name w:val="Char Char9"/>
    <w:qFormat/>
    <w:uiPriority w:val="0"/>
    <w:rPr>
      <w:kern w:val="2"/>
      <w:sz w:val="21"/>
      <w:szCs w:val="22"/>
    </w:rPr>
  </w:style>
  <w:style w:type="character" w:customStyle="1" w:styleId="119">
    <w:name w:val="文档结构图 Char"/>
    <w:link w:val="16"/>
    <w:qFormat/>
    <w:uiPriority w:val="0"/>
    <w:rPr>
      <w:rFonts w:eastAsia="宋体"/>
      <w:kern w:val="2"/>
      <w:sz w:val="21"/>
      <w:szCs w:val="24"/>
      <w:lang w:val="en-US" w:eastAsia="zh-CN" w:bidi="ar-SA"/>
    </w:rPr>
  </w:style>
  <w:style w:type="character" w:customStyle="1" w:styleId="120">
    <w:name w:val="_Style 118"/>
    <w:qFormat/>
    <w:uiPriority w:val="0"/>
    <w:rPr>
      <w:smallCaps/>
      <w:color w:val="C0504D"/>
      <w:u w:val="single"/>
    </w:rPr>
  </w:style>
  <w:style w:type="character" w:customStyle="1" w:styleId="121">
    <w:name w:val="标题 4 Char"/>
    <w:qFormat/>
    <w:uiPriority w:val="0"/>
    <w:rPr>
      <w:rFonts w:eastAsia="宋体"/>
      <w:sz w:val="21"/>
      <w:lang w:val="en-US" w:eastAsia="zh-CN" w:bidi="ar-SA"/>
    </w:rPr>
  </w:style>
  <w:style w:type="character" w:customStyle="1" w:styleId="122">
    <w:name w:val="批注框文本 Char1"/>
    <w:qFormat/>
    <w:uiPriority w:val="0"/>
    <w:rPr>
      <w:kern w:val="2"/>
      <w:sz w:val="18"/>
      <w:szCs w:val="18"/>
    </w:rPr>
  </w:style>
  <w:style w:type="character" w:customStyle="1" w:styleId="123">
    <w:name w:val="浅色底纹 - 强调文字颜色 2 Char"/>
    <w:link w:val="93"/>
    <w:qFormat/>
    <w:uiPriority w:val="0"/>
    <w:rPr>
      <w:b/>
      <w:bCs/>
      <w:i/>
      <w:iCs/>
      <w:color w:val="4F81BD"/>
      <w:kern w:val="2"/>
      <w:sz w:val="21"/>
      <w:szCs w:val="22"/>
      <w:lang w:bidi="ar-SA"/>
    </w:rPr>
  </w:style>
  <w:style w:type="character" w:customStyle="1" w:styleId="124">
    <w:name w:val="textcontents"/>
    <w:qFormat/>
    <w:uiPriority w:val="0"/>
    <w:rPr>
      <w:rFonts w:cs="Times New Roman"/>
    </w:rPr>
  </w:style>
  <w:style w:type="character" w:customStyle="1" w:styleId="125">
    <w:name w:val="正文文本 Char"/>
    <w:link w:val="19"/>
    <w:qFormat/>
    <w:uiPriority w:val="0"/>
    <w:rPr>
      <w:rFonts w:eastAsia="宋体"/>
      <w:kern w:val="2"/>
      <w:sz w:val="21"/>
      <w:szCs w:val="24"/>
      <w:lang w:val="en-US" w:eastAsia="zh-CN" w:bidi="ar-SA"/>
    </w:rPr>
  </w:style>
  <w:style w:type="character" w:customStyle="1" w:styleId="126">
    <w:name w:val="标题 5 Char"/>
    <w:link w:val="7"/>
    <w:qFormat/>
    <w:uiPriority w:val="0"/>
    <w:rPr>
      <w:rFonts w:ascii="Calibri" w:hAnsi="Calibri" w:eastAsia="宋体"/>
      <w:b/>
      <w:bCs/>
      <w:kern w:val="2"/>
      <w:sz w:val="28"/>
      <w:szCs w:val="28"/>
      <w:lang w:val="en-US" w:eastAsia="zh-CN" w:bidi="ar-SA"/>
    </w:rPr>
  </w:style>
  <w:style w:type="character" w:customStyle="1" w:styleId="127">
    <w:name w:val="标题 3 Char"/>
    <w:link w:val="5"/>
    <w:qFormat/>
    <w:uiPriority w:val="0"/>
    <w:rPr>
      <w:rFonts w:eastAsia="宋体"/>
      <w:b/>
      <w:bCs/>
      <w:kern w:val="2"/>
      <w:sz w:val="32"/>
      <w:szCs w:val="32"/>
      <w:lang w:val="en-US" w:eastAsia="zh-CN" w:bidi="ar-SA"/>
    </w:rPr>
  </w:style>
  <w:style w:type="character" w:customStyle="1" w:styleId="128">
    <w:name w:val="页眉 Char Char"/>
    <w:qFormat/>
    <w:uiPriority w:val="0"/>
    <w:rPr>
      <w:rFonts w:eastAsia="宋体"/>
      <w:kern w:val="2"/>
      <w:sz w:val="18"/>
      <w:szCs w:val="18"/>
      <w:lang w:val="en-US" w:eastAsia="zh-CN" w:bidi="ar-SA"/>
    </w:rPr>
  </w:style>
  <w:style w:type="character" w:customStyle="1" w:styleId="129">
    <w:name w:val="正文缩进 Char"/>
    <w:link w:val="13"/>
    <w:qFormat/>
    <w:uiPriority w:val="0"/>
    <w:rPr>
      <w:rFonts w:eastAsia="宋体"/>
      <w:kern w:val="2"/>
      <w:sz w:val="21"/>
      <w:szCs w:val="24"/>
      <w:lang w:val="en-US" w:eastAsia="zh-CN" w:bidi="ar-SA"/>
    </w:rPr>
  </w:style>
  <w:style w:type="character" w:customStyle="1" w:styleId="130">
    <w:name w:val="Char Char7"/>
    <w:qFormat/>
    <w:uiPriority w:val="0"/>
    <w:rPr>
      <w:rFonts w:ascii="Arial" w:hAnsi="Arial" w:eastAsia="黑体"/>
      <w:b/>
      <w:bCs/>
      <w:kern w:val="2"/>
      <w:sz w:val="32"/>
      <w:szCs w:val="32"/>
      <w:lang w:val="en-US" w:eastAsia="zh-CN" w:bidi="ar-SA"/>
    </w:rPr>
  </w:style>
  <w:style w:type="character" w:customStyle="1" w:styleId="131">
    <w:name w:val="标题 1 Char"/>
    <w:link w:val="3"/>
    <w:qFormat/>
    <w:uiPriority w:val="0"/>
    <w:rPr>
      <w:rFonts w:eastAsia="宋体"/>
      <w:b/>
      <w:bCs/>
      <w:kern w:val="44"/>
      <w:sz w:val="44"/>
      <w:szCs w:val="44"/>
      <w:lang w:val="en-US" w:eastAsia="zh-CN" w:bidi="ar-SA"/>
    </w:rPr>
  </w:style>
  <w:style w:type="character" w:customStyle="1" w:styleId="132">
    <w:name w:val="纯文本 Char"/>
    <w:link w:val="26"/>
    <w:qFormat/>
    <w:uiPriority w:val="0"/>
    <w:rPr>
      <w:rFonts w:ascii="Courier New" w:hAnsi="Courier New" w:eastAsia="宋体"/>
      <w:kern w:val="2"/>
      <w:sz w:val="21"/>
      <w:lang w:val="en-US" w:eastAsia="zh-CN" w:bidi="ar-SA"/>
    </w:rPr>
  </w:style>
  <w:style w:type="character" w:customStyle="1" w:styleId="133">
    <w:name w:val="页眉 Char"/>
    <w:link w:val="32"/>
    <w:qFormat/>
    <w:uiPriority w:val="0"/>
    <w:rPr>
      <w:rFonts w:eastAsia="宋体"/>
      <w:kern w:val="2"/>
      <w:sz w:val="18"/>
      <w:szCs w:val="18"/>
      <w:lang w:val="en-US" w:eastAsia="zh-CN" w:bidi="ar-SA"/>
    </w:rPr>
  </w:style>
  <w:style w:type="character" w:customStyle="1" w:styleId="134">
    <w:name w:val="批注文字 Char Char"/>
    <w:qFormat/>
    <w:uiPriority w:val="0"/>
    <w:rPr>
      <w:rFonts w:ascii="宋体" w:hAnsi="Times New Roman" w:eastAsia="宋体" w:cs="Times New Roman"/>
      <w:sz w:val="28"/>
      <w:szCs w:val="20"/>
    </w:rPr>
  </w:style>
  <w:style w:type="character" w:customStyle="1" w:styleId="135">
    <w:name w:val="font161"/>
    <w:qFormat/>
    <w:uiPriority w:val="0"/>
    <w:rPr>
      <w:b/>
      <w:bCs/>
      <w:sz w:val="32"/>
      <w:szCs w:val="32"/>
    </w:rPr>
  </w:style>
  <w:style w:type="character" w:customStyle="1" w:styleId="136">
    <w:name w:val="标题4 Char Char"/>
    <w:link w:val="59"/>
    <w:qFormat/>
    <w:uiPriority w:val="0"/>
    <w:rPr>
      <w:rFonts w:ascii="Arial" w:hAnsi="Arial"/>
      <w:b/>
      <w:bCs/>
      <w:sz w:val="24"/>
      <w:szCs w:val="32"/>
      <w:lang w:bidi="ar-SA"/>
    </w:rPr>
  </w:style>
  <w:style w:type="character" w:customStyle="1" w:styleId="137">
    <w:name w:val="_Style 135"/>
    <w:qFormat/>
    <w:uiPriority w:val="0"/>
    <w:rPr>
      <w:b/>
      <w:bCs/>
      <w:smallCaps/>
      <w:spacing w:val="5"/>
    </w:rPr>
  </w:style>
  <w:style w:type="character" w:customStyle="1" w:styleId="138">
    <w:name w:val="副标题 Char"/>
    <w:link w:val="35"/>
    <w:qFormat/>
    <w:uiPriority w:val="0"/>
    <w:rPr>
      <w:rFonts w:ascii="Arial" w:hAnsi="Arial" w:eastAsia="黑体"/>
      <w:b/>
      <w:bCs/>
      <w:kern w:val="2"/>
      <w:sz w:val="32"/>
      <w:szCs w:val="32"/>
      <w:lang w:val="en-US" w:eastAsia="zh-CN" w:bidi="ar-SA"/>
    </w:rPr>
  </w:style>
  <w:style w:type="character" w:customStyle="1" w:styleId="139">
    <w:name w:val="标题 4 Char1"/>
    <w:link w:val="6"/>
    <w:qFormat/>
    <w:uiPriority w:val="0"/>
    <w:rPr>
      <w:rFonts w:ascii="Arial" w:hAnsi="Arial" w:eastAsia="黑体"/>
      <w:b/>
      <w:bCs/>
      <w:kern w:val="2"/>
      <w:sz w:val="28"/>
      <w:szCs w:val="28"/>
      <w:lang w:val="en-US" w:eastAsia="zh-CN" w:bidi="ar-SA"/>
    </w:rPr>
  </w:style>
  <w:style w:type="character" w:customStyle="1" w:styleId="140">
    <w:name w:val="_Style 138"/>
    <w:qFormat/>
    <w:uiPriority w:val="0"/>
    <w:rPr>
      <w:b/>
      <w:bCs/>
      <w:smallCaps/>
      <w:color w:val="C0504D"/>
      <w:spacing w:val="5"/>
      <w:u w:val="single"/>
    </w:rPr>
  </w:style>
  <w:style w:type="character" w:customStyle="1" w:styleId="141">
    <w:name w:val="_Style 139"/>
    <w:qFormat/>
    <w:uiPriority w:val="0"/>
    <w:rPr>
      <w:b/>
      <w:bCs/>
      <w:i/>
      <w:iCs/>
      <w:color w:val="4F81BD"/>
    </w:rPr>
  </w:style>
  <w:style w:type="character" w:customStyle="1" w:styleId="142">
    <w:name w:val="标题5 Char Char"/>
    <w:link w:val="76"/>
    <w:qFormat/>
    <w:uiPriority w:val="0"/>
    <w:rPr>
      <w:rFonts w:ascii="Arial" w:hAnsi="Arial"/>
      <w:b/>
      <w:bCs/>
      <w:sz w:val="24"/>
      <w:szCs w:val="32"/>
      <w:lang w:bidi="ar-SA"/>
    </w:rPr>
  </w:style>
  <w:style w:type="character" w:customStyle="1" w:styleId="143">
    <w:name w:val="文档结构图 Char1"/>
    <w:qFormat/>
    <w:uiPriority w:val="0"/>
    <w:rPr>
      <w:rFonts w:ascii="宋体"/>
      <w:kern w:val="2"/>
      <w:sz w:val="18"/>
      <w:szCs w:val="18"/>
    </w:rPr>
  </w:style>
  <w:style w:type="character" w:customStyle="1" w:styleId="144">
    <w:name w:val="Char Char17"/>
    <w:qFormat/>
    <w:uiPriority w:val="0"/>
    <w:rPr>
      <w:rFonts w:ascii="Cambria" w:hAnsi="Cambria" w:eastAsia="宋体" w:cs="Times New Roman"/>
      <w:b/>
      <w:bCs/>
      <w:kern w:val="2"/>
      <w:sz w:val="32"/>
      <w:szCs w:val="32"/>
    </w:rPr>
  </w:style>
  <w:style w:type="character" w:customStyle="1" w:styleId="145">
    <w:name w:val="标题 7 Char"/>
    <w:link w:val="9"/>
    <w:qFormat/>
    <w:uiPriority w:val="0"/>
    <w:rPr>
      <w:rFonts w:eastAsia="宋体"/>
      <w:b/>
      <w:bCs/>
      <w:sz w:val="24"/>
      <w:szCs w:val="24"/>
      <w:lang w:val="en-US" w:eastAsia="zh-CN" w:bidi="ar-SA"/>
    </w:rPr>
  </w:style>
  <w:style w:type="character" w:customStyle="1" w:styleId="146">
    <w:name w:val="标题 6 Char"/>
    <w:link w:val="8"/>
    <w:qFormat/>
    <w:uiPriority w:val="0"/>
    <w:rPr>
      <w:rFonts w:ascii="Arial" w:hAnsi="Arial" w:eastAsia="黑体"/>
      <w:b/>
      <w:bCs/>
      <w:sz w:val="24"/>
      <w:szCs w:val="24"/>
      <w:lang w:val="en-US" w:eastAsia="zh-CN" w:bidi="ar-SA"/>
    </w:rPr>
  </w:style>
  <w:style w:type="character" w:customStyle="1" w:styleId="147">
    <w:name w:val="标题 2 Char"/>
    <w:link w:val="4"/>
    <w:qFormat/>
    <w:uiPriority w:val="0"/>
    <w:rPr>
      <w:rFonts w:ascii="Arial" w:hAnsi="Arial" w:eastAsia="黑体"/>
      <w:b/>
      <w:bCs/>
      <w:kern w:val="2"/>
      <w:sz w:val="32"/>
      <w:szCs w:val="32"/>
      <w:lang w:val="en-US" w:eastAsia="zh-CN" w:bidi="ar-SA"/>
    </w:rPr>
  </w:style>
  <w:style w:type="character" w:customStyle="1" w:styleId="148">
    <w:name w:val="页脚 Char Char"/>
    <w:qFormat/>
    <w:uiPriority w:val="0"/>
    <w:rPr>
      <w:rFonts w:eastAsia="宋体"/>
      <w:kern w:val="2"/>
      <w:sz w:val="18"/>
      <w:szCs w:val="18"/>
      <w:lang w:val="en-US" w:eastAsia="zh-CN" w:bidi="ar-SA"/>
    </w:rPr>
  </w:style>
  <w:style w:type="character" w:customStyle="1" w:styleId="149">
    <w:name w:val="ask-title"/>
    <w:qFormat/>
    <w:uiPriority w:val="0"/>
  </w:style>
  <w:style w:type="character" w:customStyle="1" w:styleId="150">
    <w:name w:val="标题 8 Char"/>
    <w:link w:val="10"/>
    <w:qFormat/>
    <w:uiPriority w:val="0"/>
    <w:rPr>
      <w:rFonts w:ascii="Arial" w:hAnsi="Arial" w:eastAsia="黑体"/>
      <w:sz w:val="24"/>
      <w:szCs w:val="24"/>
      <w:lang w:val="en-US" w:eastAsia="zh-CN" w:bidi="ar-SA"/>
    </w:rPr>
  </w:style>
  <w:style w:type="character" w:customStyle="1" w:styleId="151">
    <w:name w:val="font11"/>
    <w:qFormat/>
    <w:uiPriority w:val="0"/>
    <w:rPr>
      <w:rFonts w:hint="eastAsia" w:ascii="宋体" w:hAnsi="宋体" w:eastAsia="宋体" w:cs="宋体"/>
      <w:color w:val="000000"/>
      <w:sz w:val="20"/>
      <w:szCs w:val="20"/>
      <w:u w:val="none"/>
    </w:rPr>
  </w:style>
  <w:style w:type="character" w:customStyle="1" w:styleId="152">
    <w:name w:val="正文文本 Char1"/>
    <w:qFormat/>
    <w:uiPriority w:val="0"/>
    <w:rPr>
      <w:kern w:val="2"/>
      <w:sz w:val="21"/>
      <w:szCs w:val="22"/>
    </w:rPr>
  </w:style>
  <w:style w:type="character" w:customStyle="1" w:styleId="153">
    <w:name w:val="彩色网格 - 强调文字颜色 1 Char"/>
    <w:link w:val="69"/>
    <w:qFormat/>
    <w:uiPriority w:val="0"/>
    <w:rPr>
      <w:i/>
      <w:iCs/>
      <w:color w:val="000000"/>
      <w:kern w:val="2"/>
      <w:sz w:val="21"/>
      <w:szCs w:val="22"/>
      <w:lang w:bidi="ar-SA"/>
    </w:rPr>
  </w:style>
  <w:style w:type="character" w:customStyle="1" w:styleId="154">
    <w:name w:val="font01"/>
    <w:basedOn w:val="49"/>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4161</Words>
  <Characters>4563</Characters>
  <Lines>33</Lines>
  <Paragraphs>9</Paragraphs>
  <TotalTime>157</TotalTime>
  <ScaleCrop>false</ScaleCrop>
  <LinksUpToDate>false</LinksUpToDate>
  <CharactersWithSpaces>4700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2022-09-14T01:36:00Z</dcterms:created>
  <dc:creator>e510</dc:creator>
  <cp:lastModifiedBy>杨枝甘露</cp:lastModifiedBy>
  <cp:lastPrinted>2024-01-17T06:58:00Z</cp:lastPrinted>
  <dcterms:modified xsi:type="dcterms:W3CDTF">2024-08-21T10:07:51Z</dcterms:modified>
  <dc:title>中华人民共和国</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EF5EBA75EA99493297B9E9254575BC5D</vt:lpwstr>
  </property>
  <property fmtid="{D5CDD505-2E9C-101B-9397-08002B2CF9AE}" pid="4" name="commondata">
    <vt:lpwstr>eyJoZGlkIjoiYzYyNTAwNGI5NGU4MjY1MmYwNTViNmIzOWFjNTkxNzQifQ==</vt:lpwstr>
  </property>
</Properties>
</file>