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0F245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瑞士灏讯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光纤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技术要求</w:t>
      </w:r>
      <w:bookmarkStart w:id="0" w:name="_GoBack"/>
      <w:bookmarkEnd w:id="0"/>
    </w:p>
    <w:p w14:paraId="1F130F85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77D54DE4">
      <w:pPr>
        <w:jc w:val="both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瑞士灏讯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光纤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采购明细及技术要求如下</w:t>
      </w:r>
      <w:r>
        <w:rPr>
          <w:rFonts w:hint="eastAsia"/>
          <w:b w:val="0"/>
          <w:bCs w:val="0"/>
          <w:sz w:val="24"/>
          <w:szCs w:val="24"/>
          <w:lang w:eastAsia="zh-CN"/>
        </w:rPr>
        <w:t>：</w:t>
      </w:r>
    </w:p>
    <w:tbl>
      <w:tblPr>
        <w:tblStyle w:val="2"/>
        <w:tblW w:w="87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720"/>
        <w:gridCol w:w="855"/>
        <w:gridCol w:w="5139"/>
      </w:tblGrid>
      <w:tr w14:paraId="7C1A9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F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5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F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要去</w:t>
            </w:r>
          </w:p>
        </w:tc>
      </w:tr>
      <w:tr w14:paraId="7AFC9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7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瑞士灏讯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光纤BC05775  2×200/230；150米/根*9根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2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 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AD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1、每根光纤两端均做好接头并测试正常（每端有两个不同型号接头）：其中一芯两端均做BP04260-01接头（蓝色）；另一芯两端均做BP04260-02接头（黑色）</w:t>
            </w:r>
          </w:p>
          <w:p w14:paraId="332930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2、两种型号光纤接头如图所示：</w:t>
            </w:r>
          </w:p>
          <w:p w14:paraId="45F341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drawing>
                <wp:inline distT="0" distB="0" distL="114300" distR="114300">
                  <wp:extent cx="1127125" cy="1033780"/>
                  <wp:effectExtent l="0" t="0" r="15875" b="13970"/>
                  <wp:docPr id="130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560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125" cy="103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03325" cy="1014730"/>
                  <wp:effectExtent l="0" t="0" r="15875" b="13970"/>
                  <wp:docPr id="130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b="58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1014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292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F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瑞士灏讯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光纤BC05775  2×200/230；100米/根*9根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3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FB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1、每根光纤两端均做好接头并测试正常（每端有两个不同型号接头）：其中一芯两端均做BP04260-01接头（蓝色）；另一芯两端均做BP04260-02接头（黑色）</w:t>
            </w:r>
          </w:p>
          <w:p w14:paraId="4BCC98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2、两种型号光纤接头如图所示：</w:t>
            </w:r>
          </w:p>
          <w:p w14:paraId="5D9D55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drawing>
                <wp:inline distT="0" distB="0" distL="114300" distR="114300">
                  <wp:extent cx="1348740" cy="1231900"/>
                  <wp:effectExtent l="0" t="0" r="3810" b="6350"/>
                  <wp:docPr id="130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560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1231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466850" cy="1232535"/>
                  <wp:effectExtent l="0" t="0" r="0" b="5715"/>
                  <wp:docPr id="130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b="58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232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E6C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3BF7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铜陵有色金属集团铜冠建筑安装股份有限公司</w:t>
      </w:r>
    </w:p>
    <w:p w14:paraId="7AB7B5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2024年9月10日           </w:t>
      </w:r>
    </w:p>
    <w:p w14:paraId="07B8CEA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6E8A333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000000"/>
    <w:rsid w:val="019B1886"/>
    <w:rsid w:val="06587C05"/>
    <w:rsid w:val="0DB83C5F"/>
    <w:rsid w:val="1494440C"/>
    <w:rsid w:val="1C8A24EF"/>
    <w:rsid w:val="2ADD5626"/>
    <w:rsid w:val="7FA0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326</Characters>
  <Lines>0</Lines>
  <Paragraphs>0</Paragraphs>
  <TotalTime>1</TotalTime>
  <ScaleCrop>false</ScaleCrop>
  <LinksUpToDate>false</LinksUpToDate>
  <CharactersWithSpaces>351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2024-07-29T04:52:00Z</dcterms:created>
  <dc:creator>Administrator</dc:creator>
  <cp:lastModifiedBy>贾杰</cp:lastModifiedBy>
  <dcterms:modified xsi:type="dcterms:W3CDTF">2024-09-09T09:22:24Z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AB7E84D17143412BAF301FAA89432F8B_12</vt:lpwstr>
  </property>
</Properties>
</file>