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5B1DEC59">
      <w:pPr>
        <w:pStyle w:val="2"/>
        <w:ind w:left="0" w:leftChars="0" w:firstLine="0" w:firstLineChars="0"/>
        <w:jc w:val="center"/>
        <w:rPr>
          <w:rFonts w:hint="eastAsia" w:ascii="宋体" w:hAnsi="宋体" w:eastAsia="宋体" w:cs="宋体"/>
          <w:b/>
          <w:bCs/>
          <w:sz w:val="72"/>
          <w:szCs w:val="72"/>
          <w:lang w:eastAsia="zh-CN"/>
        </w:rPr>
      </w:pPr>
      <w:r>
        <w:rPr>
          <w:rFonts w:hint="eastAsia" w:ascii="宋体" w:hAnsi="宋体" w:eastAsia="宋体" w:cs="宋体"/>
          <w:b/>
          <w:bCs/>
          <w:sz w:val="72"/>
          <w:szCs w:val="72"/>
        </w:rPr>
        <w:t>钢构龙之绿桥细级粒尾砂项目—成品包装车间</w:t>
      </w:r>
      <w:r>
        <w:rPr>
          <w:rFonts w:hint="eastAsia" w:ascii="宋体" w:hAnsi="宋体" w:eastAsia="宋体" w:cs="宋体"/>
          <w:b/>
          <w:bCs/>
          <w:sz w:val="72"/>
          <w:szCs w:val="72"/>
          <w:lang w:eastAsia="zh-CN"/>
        </w:rPr>
        <w:t>彩涂卷</w:t>
      </w:r>
    </w:p>
    <w:p w14:paraId="5B0AEE3D">
      <w:pPr>
        <w:pStyle w:val="2"/>
        <w:ind w:left="0" w:leftChars="0" w:firstLine="0" w:firstLineChars="0"/>
        <w:jc w:val="center"/>
        <w:rPr>
          <w:rFonts w:hint="eastAsia" w:ascii="宋体" w:hAnsi="宋体" w:eastAsia="宋体" w:cs="宋体"/>
          <w:b/>
          <w:bCs/>
          <w:sz w:val="72"/>
          <w:szCs w:val="72"/>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1D6EA701">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4167</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0845C06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钢构龙之绿桥细级粒尾砂项目——成品包装车间彩涂卷</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7</w:t>
      </w:r>
      <w:bookmarkStart w:id="0" w:name="_GoBack"/>
      <w:bookmarkEnd w:id="0"/>
      <w:r>
        <w:rPr>
          <w:rFonts w:hint="eastAsia" w:ascii="仿宋" w:hAnsi="仿宋" w:eastAsia="仿宋" w:cs="仿宋"/>
          <w:sz w:val="24"/>
          <w:szCs w:val="24"/>
          <w:highlight w:val="none"/>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 w:name="Candara">
    <w:panose1 w:val="020E0502030303020204"/>
    <w:charset w:val="00"/>
    <w:family w:val="auto"/>
    <w:pitch w:val="default"/>
    <w:sig w:usb0="A00002EF" w:usb1="4000A44B"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Trebuchet MS">
    <w:panose1 w:val="020B0603020202020204"/>
    <w:charset w:val="00"/>
    <w:family w:val="auto"/>
    <w:pitch w:val="default"/>
    <w:sig w:usb0="00000287" w:usb1="00000003" w:usb2="00000000" w:usb3="00000000" w:csb0="2000009F" w:csb1="00000000"/>
  </w:font>
  <w:font w:name="Tunga">
    <w:panose1 w:val="020B0502040204020203"/>
    <w:charset w:val="00"/>
    <w:family w:val="auto"/>
    <w:pitch w:val="default"/>
    <w:sig w:usb0="004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Narkisim">
    <w:panose1 w:val="020E0502050101010101"/>
    <w:charset w:val="00"/>
    <w:family w:val="auto"/>
    <w:pitch w:val="default"/>
    <w:sig w:usb0="00000801" w:usb1="00000000" w:usb2="00000000" w:usb3="00000000" w:csb0="00000020" w:csb1="00200000"/>
  </w:font>
  <w:font w:name="Microsoft PhagsPa">
    <w:panose1 w:val="020B0502040204020203"/>
    <w:charset w:val="00"/>
    <w:family w:val="auto"/>
    <w:pitch w:val="default"/>
    <w:sig w:usb0="00000003" w:usb1="00200000" w:usb2="08000000" w:usb3="00000000" w:csb0="00000001" w:csb1="00000000"/>
  </w:font>
  <w:font w:name="IrisUPC">
    <w:panose1 w:val="020B0604020202020204"/>
    <w:charset w:val="00"/>
    <w:family w:val="auto"/>
    <w:pitch w:val="default"/>
    <w:sig w:usb0="01000007" w:usb1="00000002" w:usb2="00000000" w:usb3="00000000" w:csb0="00010001" w:csb1="00000000"/>
  </w:font>
  <w:font w:name="FrankRuehl">
    <w:panose1 w:val="020E0503060101010101"/>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005CF"/>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2916</Characters>
  <Lines>56</Lines>
  <Paragraphs>15</Paragraphs>
  <TotalTime>6</TotalTime>
  <ScaleCrop>false</ScaleCrop>
  <LinksUpToDate>false</LinksUpToDate>
  <CharactersWithSpaces>2996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2024-10-29T03:12:44Z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