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65DCC6D">
      <w:pPr>
        <w:spacing w:line="560" w:lineRule="exact"/>
        <w:jc w:val="center"/>
        <w:rPr>
          <w:rFonts w:ascii="楷体_GB2312" w:hAnsi="宋体" w:eastAsia="楷体_GB2312" w:cs="宋体"/>
          <w:kern w:val="1"/>
          <w:sz w:val="44"/>
          <w:szCs w:val="44"/>
          <w:highlight w:val="none"/>
        </w:rPr>
      </w:pPr>
      <w:r>
        <w:rPr>
          <w:rFonts w:ascii="楷体_GB2312" w:hAnsi="宋体" w:eastAsia="楷体_GB2312" w:cs="宋体"/>
          <w:kern w:val="1"/>
          <w:sz w:val="44"/>
          <w:szCs w:val="44"/>
          <w:highlight w:val="none"/>
        </w:rPr>
        <mc:AlternateContent>
          <mc:Choice Requires="wps">
            <w:drawing>
              <wp:anchor distT="0" distB="0" distL="114300" distR="114300" simplePos="0" relativeHeight="251660288" behindDoc="1" locked="0" layoutInCell="0" allowOverlap="1">
                <wp:simplePos x="0" y="0"/>
                <wp:positionH relativeFrom="page">
                  <wp:posOffset>0</wp:posOffset>
                </wp:positionH>
                <wp:positionV relativeFrom="page">
                  <wp:posOffset>0</wp:posOffset>
                </wp:positionV>
                <wp:extent cx="114935" cy="198120"/>
                <wp:effectExtent l="0" t="0" r="0" b="0"/>
                <wp:wrapNone/>
                <wp:docPr id="1"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a:effectLst/>
                      </wps:spPr>
                      <wps:txbx>
                        <w:txbxContent>
                          <w:p w14:paraId="70DDA976"/>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251656192;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h0EmN0AAAAAMBAAAPAAAAAAAAAAEAIAAAACIAAABkcnMv&#10;ZG93bnJldi54bWxQSwECFAAUAAAACACHTuJA8olxHdIBAACkAwAADgAAAAAAAAABACAAAAAfAQAA&#10;ZHJzL2Uyb0RvYy54bWxQSwUGAAAAAAYABgBZAQAAYwUAAAAA&#10;">
                <v:fill on="f" focussize="0,0"/>
                <v:stroke on="f"/>
                <v:imagedata o:title=""/>
                <o:lock v:ext="edit" aspectratio="f"/>
                <v:textbox inset="0mm,0mm,0mm,0mm" style="mso-fit-shape-to-text:t;">
                  <w:txbxContent>
                    <w:p w14:paraId="70DDA976"/>
                  </w:txbxContent>
                </v:textbox>
              </v:shape>
            </w:pict>
          </mc:Fallback>
        </mc:AlternateContent>
      </w:r>
    </w:p>
    <w:p w14:paraId="5A7C304B">
      <w:pPr>
        <w:spacing w:line="560" w:lineRule="exact"/>
        <w:jc w:val="center"/>
        <w:rPr>
          <w:rFonts w:ascii="楷体_GB2312" w:hAnsi="宋体" w:eastAsia="楷体_GB2312" w:cs="宋体"/>
          <w:kern w:val="1"/>
          <w:sz w:val="44"/>
          <w:szCs w:val="44"/>
          <w:highlight w:val="none"/>
        </w:rPr>
      </w:pPr>
    </w:p>
    <w:p w14:paraId="71364729">
      <w:pPr>
        <w:spacing w:line="560" w:lineRule="exact"/>
        <w:jc w:val="center"/>
        <w:rPr>
          <w:rFonts w:hint="eastAsia" w:ascii="仿宋" w:hAnsi="仿宋" w:eastAsia="仿宋" w:cs="宋体"/>
          <w:b/>
          <w:bCs/>
          <w:kern w:val="1"/>
          <w:sz w:val="44"/>
          <w:szCs w:val="44"/>
          <w:highlight w:val="none"/>
          <w:u w:val="single"/>
          <w:lang w:eastAsia="zh-CN"/>
        </w:rPr>
      </w:pPr>
      <w:bookmarkStart w:id="7" w:name="_GoBack"/>
      <w:bookmarkEnd w:id="7"/>
      <w:r>
        <w:rPr>
          <w:rFonts w:hint="eastAsia" w:ascii="仿宋" w:hAnsi="仿宋" w:eastAsia="仿宋" w:cs="宋体"/>
          <w:b/>
          <w:bCs/>
          <w:kern w:val="1"/>
          <w:sz w:val="44"/>
          <w:szCs w:val="44"/>
          <w:highlight w:val="none"/>
          <w:u w:val="single"/>
        </w:rPr>
        <w:t>铜冠建安</w:t>
      </w:r>
      <w:r>
        <w:rPr>
          <w:rFonts w:hint="eastAsia" w:ascii="仿宋" w:hAnsi="仿宋" w:eastAsia="仿宋" w:cs="宋体"/>
          <w:b/>
          <w:bCs/>
          <w:kern w:val="1"/>
          <w:sz w:val="44"/>
          <w:szCs w:val="44"/>
          <w:highlight w:val="none"/>
          <w:u w:val="single"/>
          <w:lang w:eastAsia="zh-CN"/>
        </w:rPr>
        <w:t>公司</w:t>
      </w:r>
    </w:p>
    <w:p w14:paraId="45B49DB3">
      <w:pPr>
        <w:spacing w:line="560" w:lineRule="exact"/>
        <w:jc w:val="center"/>
        <w:rPr>
          <w:rFonts w:hint="eastAsia" w:ascii="仿宋" w:hAnsi="仿宋" w:eastAsia="仿宋" w:cs="宋体"/>
          <w:b/>
          <w:bCs/>
          <w:kern w:val="1"/>
          <w:sz w:val="44"/>
          <w:szCs w:val="44"/>
          <w:highlight w:val="none"/>
          <w:u w:val="single"/>
          <w:lang w:val="en-US" w:eastAsia="zh-CN"/>
        </w:rPr>
      </w:pPr>
      <w:r>
        <w:rPr>
          <w:rFonts w:hint="eastAsia" w:ascii="仿宋" w:hAnsi="仿宋" w:eastAsia="仿宋" w:cs="宋体"/>
          <w:b/>
          <w:bCs/>
          <w:kern w:val="1"/>
          <w:sz w:val="44"/>
          <w:szCs w:val="44"/>
          <w:highlight w:val="none"/>
          <w:u w:val="single"/>
          <w:lang w:val="en-US" w:eastAsia="zh-CN"/>
        </w:rPr>
        <w:t>铜陵市内各</w:t>
      </w:r>
      <w:r>
        <w:rPr>
          <w:rFonts w:hint="eastAsia" w:ascii="仿宋" w:hAnsi="仿宋" w:eastAsia="仿宋" w:cs="宋体"/>
          <w:b/>
          <w:bCs/>
          <w:kern w:val="1"/>
          <w:sz w:val="44"/>
          <w:szCs w:val="44"/>
          <w:highlight w:val="none"/>
          <w:u w:val="single"/>
          <w:lang w:eastAsia="zh-CN"/>
        </w:rPr>
        <w:t>项目袋装水泥</w:t>
      </w:r>
    </w:p>
    <w:p w14:paraId="3C696FDB">
      <w:pPr>
        <w:tabs>
          <w:tab w:val="left" w:pos="7020"/>
        </w:tabs>
        <w:jc w:val="center"/>
        <w:rPr>
          <w:rFonts w:ascii="仿宋" w:hAnsi="仿宋" w:eastAsia="仿宋" w:cs="宋体"/>
          <w:b/>
          <w:bCs/>
          <w:kern w:val="1"/>
          <w:sz w:val="44"/>
          <w:szCs w:val="44"/>
          <w:highlight w:val="none"/>
          <w:u w:val="single"/>
        </w:rPr>
      </w:pPr>
    </w:p>
    <w:p w14:paraId="76538BE2">
      <w:pPr>
        <w:spacing w:line="560" w:lineRule="exact"/>
        <w:rPr>
          <w:rFonts w:ascii="仿宋" w:hAnsi="仿宋" w:eastAsia="仿宋"/>
          <w:sz w:val="44"/>
          <w:szCs w:val="44"/>
          <w:highlight w:val="none"/>
        </w:rPr>
      </w:pPr>
    </w:p>
    <w:p w14:paraId="5F90D386">
      <w:pPr>
        <w:tabs>
          <w:tab w:val="left" w:pos="7020"/>
        </w:tabs>
        <w:jc w:val="center"/>
        <w:rPr>
          <w:rFonts w:ascii="仿宋" w:hAnsi="仿宋" w:eastAsia="仿宋"/>
          <w:b/>
          <w:sz w:val="72"/>
          <w:szCs w:val="72"/>
          <w:highlight w:val="none"/>
        </w:rPr>
      </w:pPr>
      <w:r>
        <w:rPr>
          <w:rFonts w:hint="eastAsia" w:ascii="仿宋" w:hAnsi="仿宋" w:eastAsia="仿宋"/>
          <w:b/>
          <w:sz w:val="72"/>
          <w:szCs w:val="72"/>
          <w:highlight w:val="none"/>
        </w:rPr>
        <w:t>竞价文件</w:t>
      </w:r>
    </w:p>
    <w:p w14:paraId="195D662A">
      <w:pPr>
        <w:tabs>
          <w:tab w:val="left" w:pos="7020"/>
        </w:tabs>
        <w:spacing w:line="560" w:lineRule="exact"/>
        <w:jc w:val="center"/>
        <w:rPr>
          <w:rFonts w:ascii="仿宋" w:hAnsi="仿宋" w:eastAsia="仿宋"/>
          <w:b/>
          <w:sz w:val="52"/>
          <w:szCs w:val="52"/>
          <w:highlight w:val="none"/>
        </w:rPr>
      </w:pPr>
    </w:p>
    <w:p w14:paraId="66A20995">
      <w:pPr>
        <w:tabs>
          <w:tab w:val="left" w:pos="7020"/>
        </w:tabs>
        <w:spacing w:line="560" w:lineRule="exact"/>
        <w:jc w:val="center"/>
        <w:rPr>
          <w:rFonts w:ascii="仿宋" w:hAnsi="仿宋" w:eastAsia="仿宋"/>
          <w:b/>
          <w:sz w:val="52"/>
          <w:szCs w:val="52"/>
          <w:highlight w:val="none"/>
        </w:rPr>
      </w:pPr>
    </w:p>
    <w:p w14:paraId="1F526B79">
      <w:pPr>
        <w:spacing w:line="560" w:lineRule="exact"/>
        <w:rPr>
          <w:rFonts w:hint="default" w:ascii="仿宋" w:hAnsi="仿宋" w:eastAsia="仿宋" w:cs="仿宋_GB2312"/>
          <w:b/>
          <w:bCs/>
          <w:sz w:val="32"/>
          <w:szCs w:val="32"/>
          <w:highlight w:val="none"/>
          <w:u w:val="single"/>
          <w:lang w:val="en-US" w:eastAsia="zh-CN"/>
        </w:rPr>
      </w:pPr>
      <w:r>
        <w:rPr>
          <w:rFonts w:hint="eastAsia" w:ascii="仿宋" w:hAnsi="仿宋" w:eastAsia="仿宋" w:cs="仿宋_GB2312"/>
          <w:b/>
          <w:bCs/>
          <w:sz w:val="32"/>
          <w:szCs w:val="32"/>
          <w:highlight w:val="none"/>
        </w:rPr>
        <w:t>招标编号：</w:t>
      </w:r>
      <w:r>
        <w:rPr>
          <w:rFonts w:hint="eastAsia" w:ascii="仿宋" w:hAnsi="仿宋" w:eastAsia="仿宋" w:cs="仿宋_GB2312"/>
          <w:b/>
          <w:bCs/>
          <w:sz w:val="32"/>
          <w:szCs w:val="32"/>
          <w:highlight w:val="none"/>
          <w:u w:val="single"/>
        </w:rPr>
        <w:t>TGJA-WZ-202</w:t>
      </w:r>
      <w:r>
        <w:rPr>
          <w:rFonts w:hint="eastAsia" w:ascii="仿宋" w:hAnsi="仿宋" w:eastAsia="仿宋" w:cs="仿宋_GB2312"/>
          <w:b/>
          <w:bCs/>
          <w:sz w:val="32"/>
          <w:szCs w:val="32"/>
          <w:highlight w:val="none"/>
          <w:u w:val="single"/>
          <w:lang w:val="en-US" w:eastAsia="zh-CN"/>
        </w:rPr>
        <w:t>5012</w:t>
      </w:r>
    </w:p>
    <w:p w14:paraId="4EFA7BD0">
      <w:pPr>
        <w:spacing w:line="560" w:lineRule="exact"/>
        <w:rPr>
          <w:rFonts w:ascii="仿宋" w:hAnsi="仿宋" w:eastAsia="仿宋" w:cs="仿宋_GB2312"/>
          <w:b/>
          <w:bCs/>
          <w:sz w:val="32"/>
          <w:szCs w:val="32"/>
          <w:highlight w:val="none"/>
          <w:u w:val="single"/>
        </w:rPr>
      </w:pPr>
    </w:p>
    <w:p w14:paraId="4AFC4311">
      <w:pPr>
        <w:spacing w:line="560" w:lineRule="exact"/>
        <w:rPr>
          <w:rFonts w:ascii="仿宋" w:hAnsi="仿宋" w:eastAsia="仿宋" w:cs="仿宋_GB2312"/>
          <w:b/>
          <w:bCs/>
          <w:sz w:val="28"/>
          <w:szCs w:val="28"/>
          <w:highlight w:val="none"/>
        </w:rPr>
      </w:pPr>
      <w:r>
        <w:rPr>
          <w:rFonts w:hint="eastAsia" w:ascii="仿宋" w:hAnsi="仿宋" w:eastAsia="仿宋" w:cs="仿宋_GB2312"/>
          <w:b/>
          <w:bCs/>
          <w:sz w:val="32"/>
          <w:szCs w:val="32"/>
          <w:highlight w:val="none"/>
        </w:rPr>
        <w:t xml:space="preserve">招 标 人: </w:t>
      </w:r>
      <w:r>
        <w:rPr>
          <w:rFonts w:hint="eastAsia" w:ascii="仿宋" w:hAnsi="仿宋" w:eastAsia="仿宋" w:cs="仿宋_GB2312"/>
          <w:b/>
          <w:bCs/>
          <w:sz w:val="28"/>
          <w:szCs w:val="28"/>
          <w:highlight w:val="none"/>
        </w:rPr>
        <w:t>铜陵有色金属集团铜冠建筑安装股份有限公司（盖章）</w:t>
      </w:r>
    </w:p>
    <w:p w14:paraId="467B1D44">
      <w:pPr>
        <w:spacing w:line="560" w:lineRule="exact"/>
        <w:rPr>
          <w:rFonts w:ascii="仿宋" w:hAnsi="仿宋" w:eastAsia="仿宋" w:cs="仿宋_GB2312"/>
          <w:b/>
          <w:bCs/>
          <w:sz w:val="32"/>
          <w:szCs w:val="32"/>
          <w:highlight w:val="none"/>
        </w:rPr>
      </w:pPr>
    </w:p>
    <w:p w14:paraId="6286C5AE">
      <w:pPr>
        <w:spacing w:line="560" w:lineRule="exact"/>
        <w:rPr>
          <w:rFonts w:ascii="仿宋" w:hAnsi="仿宋" w:eastAsia="仿宋" w:cs="仿宋_GB2312"/>
          <w:b/>
          <w:bCs/>
          <w:sz w:val="32"/>
          <w:szCs w:val="32"/>
          <w:highlight w:val="none"/>
          <w:u w:val="single"/>
        </w:rPr>
      </w:pPr>
      <w:r>
        <w:rPr>
          <w:rFonts w:hint="eastAsia" w:ascii="仿宋" w:hAnsi="仿宋" w:eastAsia="仿宋" w:cs="仿宋_GB2312"/>
          <w:b/>
          <w:bCs/>
          <w:sz w:val="32"/>
          <w:szCs w:val="32"/>
          <w:highlight w:val="none"/>
        </w:rPr>
        <w:t>联 系 人：</w:t>
      </w:r>
      <w:r>
        <w:rPr>
          <w:rFonts w:hint="eastAsia" w:ascii="仿宋" w:hAnsi="仿宋" w:eastAsia="仿宋" w:cs="仿宋_GB2312"/>
          <w:b/>
          <w:bCs/>
          <w:sz w:val="32"/>
          <w:szCs w:val="32"/>
          <w:highlight w:val="none"/>
          <w:u w:val="single"/>
          <w:lang w:val="en-US" w:eastAsia="zh-CN"/>
        </w:rPr>
        <w:t>毛文文</w:t>
      </w:r>
      <w:r>
        <w:rPr>
          <w:rFonts w:hint="eastAsia" w:ascii="仿宋" w:hAnsi="仿宋" w:eastAsia="仿宋" w:cs="仿宋_GB2312"/>
          <w:b/>
          <w:bCs/>
          <w:sz w:val="32"/>
          <w:szCs w:val="32"/>
          <w:highlight w:val="none"/>
          <w:u w:val="single"/>
        </w:rPr>
        <w:t>（1</w:t>
      </w:r>
      <w:r>
        <w:rPr>
          <w:rFonts w:hint="eastAsia" w:ascii="仿宋" w:hAnsi="仿宋" w:eastAsia="仿宋" w:cs="仿宋_GB2312"/>
          <w:b/>
          <w:bCs/>
          <w:sz w:val="32"/>
          <w:szCs w:val="32"/>
          <w:highlight w:val="none"/>
          <w:u w:val="single"/>
          <w:lang w:val="en-US" w:eastAsia="zh-CN"/>
        </w:rPr>
        <w:t>5256639761</w:t>
      </w:r>
      <w:r>
        <w:rPr>
          <w:rFonts w:hint="eastAsia" w:ascii="仿宋" w:hAnsi="仿宋" w:eastAsia="仿宋" w:cs="仿宋_GB2312"/>
          <w:b/>
          <w:bCs/>
          <w:sz w:val="32"/>
          <w:szCs w:val="32"/>
          <w:highlight w:val="none"/>
          <w:u w:val="single"/>
        </w:rPr>
        <w:t>）、</w:t>
      </w:r>
      <w:r>
        <w:rPr>
          <w:rFonts w:hint="eastAsia" w:ascii="仿宋" w:hAnsi="仿宋" w:eastAsia="仿宋" w:cs="仿宋_GB2312"/>
          <w:b/>
          <w:bCs/>
          <w:sz w:val="32"/>
          <w:szCs w:val="32"/>
          <w:highlight w:val="none"/>
          <w:u w:val="single"/>
          <w:lang w:val="en-US" w:eastAsia="zh-CN"/>
        </w:rPr>
        <w:t>黄赟</w:t>
      </w:r>
      <w:r>
        <w:rPr>
          <w:rFonts w:hint="eastAsia" w:ascii="仿宋" w:hAnsi="仿宋" w:eastAsia="仿宋" w:cs="仿宋_GB2312"/>
          <w:b/>
          <w:bCs/>
          <w:sz w:val="32"/>
          <w:szCs w:val="32"/>
          <w:highlight w:val="none"/>
          <w:u w:val="single"/>
        </w:rPr>
        <w:t>（</w:t>
      </w:r>
      <w:r>
        <w:rPr>
          <w:rFonts w:hint="eastAsia" w:ascii="仿宋" w:hAnsi="仿宋" w:eastAsia="仿宋" w:cs="仿宋_GB2312"/>
          <w:b/>
          <w:bCs/>
          <w:sz w:val="32"/>
          <w:szCs w:val="32"/>
          <w:highlight w:val="none"/>
          <w:u w:val="single"/>
          <w:lang w:val="en-US" w:eastAsia="zh-CN"/>
        </w:rPr>
        <w:t>18656211500</w:t>
      </w:r>
      <w:r>
        <w:rPr>
          <w:rFonts w:hint="eastAsia" w:ascii="仿宋" w:hAnsi="仿宋" w:eastAsia="仿宋" w:cs="仿宋_GB2312"/>
          <w:b/>
          <w:bCs/>
          <w:sz w:val="32"/>
          <w:szCs w:val="32"/>
          <w:highlight w:val="none"/>
          <w:u w:val="single"/>
        </w:rPr>
        <w:t>）</w:t>
      </w:r>
    </w:p>
    <w:p w14:paraId="7950B920">
      <w:pPr>
        <w:tabs>
          <w:tab w:val="left" w:pos="7020"/>
        </w:tabs>
        <w:snapToGrid w:val="0"/>
        <w:spacing w:line="560" w:lineRule="exact"/>
        <w:jc w:val="left"/>
        <w:rPr>
          <w:rFonts w:ascii="仿宋" w:hAnsi="仿宋" w:eastAsia="仿宋" w:cs="仿宋_GB2312"/>
          <w:b/>
          <w:bCs/>
          <w:sz w:val="32"/>
          <w:szCs w:val="32"/>
          <w:highlight w:val="none"/>
          <w:u w:val="single"/>
        </w:rPr>
      </w:pPr>
    </w:p>
    <w:p w14:paraId="211A3F0A">
      <w:pPr>
        <w:tabs>
          <w:tab w:val="left" w:pos="7020"/>
        </w:tabs>
        <w:snapToGrid w:val="0"/>
        <w:spacing w:line="560" w:lineRule="exact"/>
        <w:jc w:val="left"/>
        <w:rPr>
          <w:rFonts w:ascii="仿宋" w:hAnsi="仿宋" w:eastAsia="仿宋" w:cs="仿宋_GB2312"/>
          <w:b/>
          <w:bCs/>
          <w:sz w:val="32"/>
          <w:szCs w:val="32"/>
          <w:highlight w:val="none"/>
          <w:u w:val="single"/>
        </w:rPr>
        <w:sectPr>
          <w:headerReference r:id="rId3" w:type="default"/>
          <w:footerReference r:id="rId4" w:type="default"/>
          <w:footerReference r:id="rId5" w:type="even"/>
          <w:pgSz w:w="11906" w:h="16838"/>
          <w:pgMar w:top="1440" w:right="1800" w:bottom="1440" w:left="1800" w:header="851" w:footer="992" w:gutter="0"/>
          <w:pgNumType w:start="1"/>
          <w:cols w:space="720" w:num="1"/>
          <w:docGrid w:type="lines" w:linePitch="312" w:charSpace="0"/>
        </w:sectPr>
      </w:pPr>
    </w:p>
    <w:p w14:paraId="38848936">
      <w:pPr>
        <w:spacing w:line="360" w:lineRule="auto"/>
        <w:rPr>
          <w:rFonts w:ascii="仿宋" w:hAnsi="仿宋" w:eastAsia="仿宋" w:cs="仿宋_GB2312"/>
          <w:b/>
          <w:bCs/>
          <w:sz w:val="24"/>
          <w:highlight w:val="none"/>
        </w:rPr>
      </w:pPr>
      <w:r>
        <w:rPr>
          <w:rFonts w:hint="eastAsia" w:ascii="仿宋" w:hAnsi="仿宋" w:eastAsia="仿宋" w:cs="仿宋_GB2312"/>
          <w:b/>
          <w:bCs/>
          <w:sz w:val="24"/>
          <w:highlight w:val="none"/>
        </w:rPr>
        <w:t>【声明】</w:t>
      </w:r>
    </w:p>
    <w:p w14:paraId="6A2CDE02">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1、公开招标（竞价）是铜冠建安公司为规范自主采购管理，推进阳光工程而采取的公开竞争性采购方式，公司物资供应部根据阳光工程相关规定通过招标平台进行公开招标（竞价）。</w:t>
      </w:r>
    </w:p>
    <w:p w14:paraId="35211878">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2、公开招标（竞价）为不见面开标。</w:t>
      </w:r>
    </w:p>
    <w:p w14:paraId="78834A7C">
      <w:pPr>
        <w:spacing w:line="360" w:lineRule="auto"/>
        <w:jc w:val="center"/>
        <w:rPr>
          <w:rFonts w:ascii="仿宋" w:hAnsi="仿宋" w:eastAsia="仿宋" w:cs="仿宋_GB2312"/>
          <w:b/>
          <w:sz w:val="24"/>
          <w:highlight w:val="none"/>
        </w:rPr>
      </w:pPr>
    </w:p>
    <w:p w14:paraId="68B33F85">
      <w:pPr>
        <w:spacing w:line="360" w:lineRule="auto"/>
        <w:jc w:val="center"/>
        <w:rPr>
          <w:rFonts w:ascii="仿宋" w:hAnsi="仿宋" w:eastAsia="仿宋" w:cs="仿宋_GB2312"/>
          <w:b/>
          <w:sz w:val="24"/>
          <w:highlight w:val="none"/>
        </w:rPr>
      </w:pPr>
    </w:p>
    <w:p w14:paraId="2EA801B4">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一、</w:t>
      </w:r>
      <w:r>
        <w:rPr>
          <w:rFonts w:hint="eastAsia" w:ascii="仿宋" w:hAnsi="仿宋" w:eastAsia="仿宋" w:cs="仿宋_GB2312"/>
          <w:b/>
          <w:sz w:val="24"/>
          <w:highlight w:val="none"/>
          <w:lang w:eastAsia="zh-CN"/>
        </w:rPr>
        <w:t>竞价</w:t>
      </w:r>
      <w:r>
        <w:rPr>
          <w:rFonts w:hint="eastAsia" w:ascii="仿宋" w:hAnsi="仿宋" w:eastAsia="仿宋" w:cs="仿宋_GB2312"/>
          <w:b/>
          <w:sz w:val="24"/>
          <w:highlight w:val="none"/>
        </w:rPr>
        <w:t>日程安排</w:t>
      </w:r>
    </w:p>
    <w:p w14:paraId="773B061C">
      <w:pPr>
        <w:spacing w:line="360" w:lineRule="auto"/>
        <w:rPr>
          <w:rFonts w:ascii="仿宋" w:hAnsi="仿宋" w:eastAsia="仿宋" w:cs="仿宋_GB2312"/>
          <w:b/>
          <w:sz w:val="24"/>
          <w:highlight w:val="none"/>
        </w:rPr>
      </w:pPr>
    </w:p>
    <w:p w14:paraId="6A268843">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1、投标截止时间：</w:t>
      </w:r>
      <w:r>
        <w:rPr>
          <w:rFonts w:hint="eastAsia" w:ascii="仿宋" w:hAnsi="仿宋" w:eastAsia="仿宋" w:cs="仿宋_GB2312"/>
          <w:sz w:val="24"/>
          <w:highlight w:val="none"/>
          <w:u w:val="single"/>
        </w:rPr>
        <w:t>202</w:t>
      </w:r>
      <w:r>
        <w:rPr>
          <w:rFonts w:hint="eastAsia" w:ascii="仿宋" w:hAnsi="仿宋" w:eastAsia="仿宋" w:cs="仿宋_GB2312"/>
          <w:sz w:val="24"/>
          <w:highlight w:val="none"/>
          <w:u w:val="single"/>
          <w:lang w:val="en-US" w:eastAsia="zh-CN"/>
        </w:rPr>
        <w:t>5</w:t>
      </w:r>
      <w:r>
        <w:rPr>
          <w:rFonts w:hint="eastAsia" w:ascii="仿宋" w:hAnsi="仿宋" w:eastAsia="仿宋" w:cs="仿宋_GB2312"/>
          <w:sz w:val="24"/>
          <w:highlight w:val="none"/>
          <w:u w:val="single"/>
        </w:rPr>
        <w:t>年</w:t>
      </w:r>
      <w:r>
        <w:rPr>
          <w:rFonts w:hint="eastAsia" w:ascii="仿宋" w:hAnsi="仿宋" w:eastAsia="仿宋" w:cs="仿宋_GB2312"/>
          <w:sz w:val="24"/>
          <w:highlight w:val="none"/>
          <w:u w:val="single"/>
          <w:lang w:val="en-US" w:eastAsia="zh-CN"/>
        </w:rPr>
        <w:t>1</w:t>
      </w:r>
      <w:r>
        <w:rPr>
          <w:rFonts w:hint="eastAsia" w:ascii="仿宋" w:hAnsi="仿宋" w:eastAsia="仿宋" w:cs="仿宋_GB2312"/>
          <w:sz w:val="24"/>
          <w:highlight w:val="none"/>
          <w:u w:val="single"/>
        </w:rPr>
        <w:t>月</w:t>
      </w:r>
      <w:r>
        <w:rPr>
          <w:rFonts w:hint="eastAsia" w:ascii="仿宋" w:hAnsi="仿宋" w:eastAsia="仿宋" w:cs="仿宋_GB2312"/>
          <w:sz w:val="24"/>
          <w:highlight w:val="none"/>
          <w:u w:val="single"/>
          <w:lang w:val="en-US" w:eastAsia="zh-CN"/>
        </w:rPr>
        <w:t>16</w:t>
      </w:r>
      <w:r>
        <w:rPr>
          <w:rFonts w:hint="eastAsia" w:ascii="仿宋" w:hAnsi="仿宋" w:eastAsia="仿宋" w:cs="仿宋_GB2312"/>
          <w:sz w:val="24"/>
          <w:highlight w:val="none"/>
          <w:u w:val="single"/>
        </w:rPr>
        <w:t>日9:00</w:t>
      </w:r>
    </w:p>
    <w:p w14:paraId="4272BFA8">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2、投标文件递交地点：铜陵有色金属集团铜冠建筑安装股份有限公司经营部（黄山大道南段879号主楼四楼）</w:t>
      </w:r>
    </w:p>
    <w:p w14:paraId="13250B19">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3、投标文件收件人：</w:t>
      </w:r>
      <w:r>
        <w:rPr>
          <w:rFonts w:hint="eastAsia" w:ascii="仿宋" w:hAnsi="仿宋" w:eastAsia="仿宋" w:cs="仿宋_GB2312"/>
          <w:sz w:val="24"/>
          <w:highlight w:val="none"/>
          <w:u w:val="single"/>
        </w:rPr>
        <w:t>黄赟（18656211500）</w:t>
      </w:r>
    </w:p>
    <w:p w14:paraId="7E93DDD1">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4、开标时间：</w:t>
      </w:r>
      <w:r>
        <w:rPr>
          <w:rFonts w:hint="eastAsia" w:ascii="仿宋" w:hAnsi="仿宋" w:eastAsia="仿宋" w:cs="仿宋_GB2312"/>
          <w:sz w:val="24"/>
          <w:highlight w:val="none"/>
          <w:u w:val="single"/>
        </w:rPr>
        <w:t>202</w:t>
      </w:r>
      <w:r>
        <w:rPr>
          <w:rFonts w:hint="eastAsia" w:ascii="仿宋" w:hAnsi="仿宋" w:eastAsia="仿宋" w:cs="仿宋_GB2312"/>
          <w:sz w:val="24"/>
          <w:highlight w:val="none"/>
          <w:u w:val="single"/>
          <w:lang w:val="en-US" w:eastAsia="zh-CN"/>
        </w:rPr>
        <w:t>5</w:t>
      </w:r>
      <w:r>
        <w:rPr>
          <w:rFonts w:hint="eastAsia" w:ascii="仿宋" w:hAnsi="仿宋" w:eastAsia="仿宋" w:cs="仿宋_GB2312"/>
          <w:sz w:val="24"/>
          <w:highlight w:val="none"/>
          <w:u w:val="single"/>
        </w:rPr>
        <w:t>年</w:t>
      </w:r>
      <w:r>
        <w:rPr>
          <w:rFonts w:hint="eastAsia" w:ascii="仿宋" w:hAnsi="仿宋" w:eastAsia="仿宋" w:cs="仿宋_GB2312"/>
          <w:sz w:val="24"/>
          <w:highlight w:val="none"/>
          <w:u w:val="single"/>
          <w:lang w:val="en-US" w:eastAsia="zh-CN"/>
        </w:rPr>
        <w:t>1</w:t>
      </w:r>
      <w:r>
        <w:rPr>
          <w:rFonts w:hint="eastAsia" w:ascii="仿宋" w:hAnsi="仿宋" w:eastAsia="仿宋" w:cs="仿宋_GB2312"/>
          <w:sz w:val="24"/>
          <w:highlight w:val="none"/>
          <w:u w:val="single"/>
        </w:rPr>
        <w:t>月</w:t>
      </w:r>
      <w:r>
        <w:rPr>
          <w:rFonts w:hint="eastAsia" w:ascii="仿宋" w:hAnsi="仿宋" w:eastAsia="仿宋" w:cs="仿宋_GB2312"/>
          <w:sz w:val="24"/>
          <w:highlight w:val="none"/>
          <w:u w:val="single"/>
          <w:lang w:val="en-US" w:eastAsia="zh-CN"/>
        </w:rPr>
        <w:t>16</w:t>
      </w:r>
      <w:r>
        <w:rPr>
          <w:rFonts w:hint="eastAsia" w:ascii="仿宋" w:hAnsi="仿宋" w:eastAsia="仿宋" w:cs="仿宋_GB2312"/>
          <w:sz w:val="24"/>
          <w:highlight w:val="none"/>
          <w:u w:val="single"/>
        </w:rPr>
        <w:t>日9:00</w:t>
      </w:r>
    </w:p>
    <w:p w14:paraId="18FFF178">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5、发中标通知书时间：另行通知</w:t>
      </w:r>
    </w:p>
    <w:p w14:paraId="502C440D">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6、签订合同时间：另行通知</w:t>
      </w:r>
    </w:p>
    <w:p w14:paraId="0EBE62D2">
      <w:pPr>
        <w:spacing w:line="360" w:lineRule="auto"/>
        <w:ind w:firstLine="480" w:firstLineChars="200"/>
        <w:rPr>
          <w:rFonts w:ascii="仿宋" w:hAnsi="仿宋" w:eastAsia="仿宋" w:cs="仿宋_GB2312"/>
          <w:sz w:val="24"/>
          <w:highlight w:val="none"/>
        </w:rPr>
      </w:pPr>
    </w:p>
    <w:p w14:paraId="0F4A09F5">
      <w:pPr>
        <w:spacing w:line="360" w:lineRule="auto"/>
        <w:rPr>
          <w:rFonts w:ascii="仿宋" w:hAnsi="仿宋" w:eastAsia="仿宋" w:cs="仿宋_GB2312"/>
          <w:b/>
          <w:sz w:val="24"/>
          <w:highlight w:val="none"/>
        </w:rPr>
      </w:pPr>
    </w:p>
    <w:p w14:paraId="01341B08">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二、招标内容</w:t>
      </w:r>
    </w:p>
    <w:p w14:paraId="19AB6ABF">
      <w:pPr>
        <w:spacing w:line="360" w:lineRule="auto"/>
        <w:jc w:val="center"/>
        <w:rPr>
          <w:rFonts w:ascii="仿宋" w:hAnsi="仿宋" w:eastAsia="仿宋" w:cs="仿宋_GB2312"/>
          <w:b/>
          <w:sz w:val="24"/>
          <w:highlight w:val="none"/>
        </w:rPr>
      </w:pPr>
    </w:p>
    <w:p w14:paraId="5896640B">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1、</w:t>
      </w:r>
      <w:r>
        <w:rPr>
          <w:rFonts w:hint="eastAsia" w:ascii="仿宋" w:hAnsi="仿宋" w:eastAsia="仿宋" w:cs="仿宋_GB2312"/>
          <w:sz w:val="24"/>
          <w:highlight w:val="none"/>
          <w:u w:val="single"/>
        </w:rPr>
        <w:t>本次</w:t>
      </w:r>
      <w:r>
        <w:rPr>
          <w:rFonts w:hint="eastAsia" w:ascii="仿宋" w:hAnsi="仿宋" w:eastAsia="仿宋" w:cs="仿宋_GB2312"/>
          <w:sz w:val="24"/>
          <w:highlight w:val="none"/>
          <w:u w:val="single"/>
          <w:lang w:eastAsia="zh-CN"/>
        </w:rPr>
        <w:t>竞价</w:t>
      </w:r>
      <w:r>
        <w:rPr>
          <w:rFonts w:hint="eastAsia" w:ascii="仿宋" w:hAnsi="仿宋" w:eastAsia="仿宋" w:cs="仿宋_GB2312"/>
          <w:sz w:val="24"/>
          <w:highlight w:val="none"/>
          <w:u w:val="single"/>
        </w:rPr>
        <w:t>的具体内容如下：</w:t>
      </w:r>
    </w:p>
    <w:p w14:paraId="393C8E6D">
      <w:pPr>
        <w:spacing w:line="360" w:lineRule="auto"/>
        <w:ind w:firstLine="776" w:firstLineChars="400"/>
        <w:rPr>
          <w:rFonts w:ascii="仿宋" w:hAnsi="仿宋" w:eastAsia="仿宋" w:cs="仿宋_GB2312"/>
          <w:spacing w:val="-23"/>
          <w:sz w:val="24"/>
          <w:highlight w:val="none"/>
          <w:u w:val="single"/>
        </w:rPr>
      </w:pPr>
      <w:r>
        <w:rPr>
          <w:rFonts w:hint="eastAsia" w:ascii="仿宋" w:hAnsi="仿宋" w:eastAsia="仿宋" w:cs="仿宋_GB2312"/>
          <w:spacing w:val="-23"/>
          <w:sz w:val="24"/>
          <w:highlight w:val="none"/>
          <w:u w:val="single"/>
        </w:rPr>
        <w:t>详见报价单。</w:t>
      </w:r>
    </w:p>
    <w:p w14:paraId="4DFDBA31">
      <w:pPr>
        <w:spacing w:line="360" w:lineRule="auto"/>
        <w:ind w:firstLine="388" w:firstLineChars="200"/>
        <w:rPr>
          <w:rFonts w:ascii="仿宋" w:hAnsi="仿宋" w:eastAsia="仿宋" w:cs="仿宋_GB2312"/>
          <w:spacing w:val="-23"/>
          <w:sz w:val="24"/>
          <w:highlight w:val="none"/>
          <w:u w:val="single"/>
        </w:rPr>
      </w:pPr>
    </w:p>
    <w:p w14:paraId="47CDFB0F">
      <w:pPr>
        <w:spacing w:line="360" w:lineRule="auto"/>
        <w:ind w:firstLine="388" w:firstLineChars="200"/>
        <w:rPr>
          <w:rFonts w:ascii="仿宋" w:hAnsi="仿宋" w:eastAsia="仿宋" w:cs="仿宋_GB2312"/>
          <w:spacing w:val="-23"/>
          <w:sz w:val="24"/>
          <w:highlight w:val="none"/>
          <w:u w:val="single"/>
        </w:rPr>
      </w:pPr>
    </w:p>
    <w:p w14:paraId="12D8C163">
      <w:pPr>
        <w:spacing w:line="360" w:lineRule="auto"/>
        <w:rPr>
          <w:rFonts w:ascii="仿宋" w:hAnsi="仿宋" w:eastAsia="仿宋" w:cs="仿宋_GB2312"/>
          <w:sz w:val="24"/>
          <w:highlight w:val="none"/>
        </w:rPr>
      </w:pPr>
      <w:r>
        <w:rPr>
          <w:rFonts w:hint="eastAsia" w:ascii="仿宋" w:hAnsi="仿宋" w:eastAsia="仿宋" w:cs="仿宋_GB2312"/>
          <w:b/>
          <w:bCs/>
          <w:sz w:val="24"/>
          <w:highlight w:val="none"/>
        </w:rPr>
        <w:t>说明：</w:t>
      </w:r>
      <w:r>
        <w:rPr>
          <w:rFonts w:hint="eastAsia" w:ascii="仿宋" w:hAnsi="仿宋" w:eastAsia="仿宋" w:cs="仿宋_GB2312"/>
          <w:bCs/>
          <w:sz w:val="24"/>
          <w:highlight w:val="none"/>
        </w:rPr>
        <w:t>本次</w:t>
      </w:r>
      <w:r>
        <w:rPr>
          <w:rFonts w:hint="eastAsia" w:ascii="仿宋" w:hAnsi="仿宋" w:eastAsia="仿宋" w:cs="仿宋_GB2312"/>
          <w:bCs/>
          <w:sz w:val="24"/>
          <w:highlight w:val="none"/>
          <w:lang w:eastAsia="zh-CN"/>
        </w:rPr>
        <w:t>竞价</w:t>
      </w:r>
      <w:r>
        <w:rPr>
          <w:rFonts w:hint="eastAsia" w:ascii="仿宋" w:hAnsi="仿宋" w:eastAsia="仿宋" w:cs="仿宋_GB2312"/>
          <w:bCs/>
          <w:sz w:val="24"/>
          <w:highlight w:val="none"/>
        </w:rPr>
        <w:t>数量是</w:t>
      </w:r>
      <w:r>
        <w:rPr>
          <w:rFonts w:hint="eastAsia" w:ascii="仿宋" w:hAnsi="仿宋" w:eastAsia="仿宋" w:cs="仿宋_GB2312"/>
          <w:sz w:val="24"/>
          <w:highlight w:val="none"/>
        </w:rPr>
        <w:t>招标人在现有条件下核定的大约数量，不排除在此期间受到市场环境、生产情况、技术革新、集团统供等因素影响而造成的需求数量的变化。故而此数量仅作为本次招标、评标和签订合同时的数量依据，不作为中标人最终供货结算数量的依据，最终供货结算数量以经双方共同确认的实际供货数量为准。实际供货数量与本次招标预估的以上数量的增减丝毫不影响投标报价的效力。</w:t>
      </w:r>
    </w:p>
    <w:p w14:paraId="2C1F4355">
      <w:pPr>
        <w:spacing w:line="360" w:lineRule="auto"/>
        <w:jc w:val="center"/>
        <w:rPr>
          <w:rFonts w:ascii="仿宋" w:hAnsi="仿宋" w:eastAsia="仿宋" w:cs="仿宋_GB2312"/>
          <w:b/>
          <w:sz w:val="24"/>
          <w:highlight w:val="none"/>
        </w:rPr>
      </w:pPr>
    </w:p>
    <w:p w14:paraId="3492B491">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三、投标人资格要求</w:t>
      </w:r>
    </w:p>
    <w:p w14:paraId="00C47388">
      <w:pPr>
        <w:spacing w:line="360" w:lineRule="auto"/>
        <w:jc w:val="center"/>
        <w:rPr>
          <w:rFonts w:ascii="仿宋" w:hAnsi="仿宋" w:eastAsia="仿宋" w:cs="仿宋_GB2312"/>
          <w:b/>
          <w:sz w:val="24"/>
          <w:highlight w:val="none"/>
        </w:rPr>
      </w:pPr>
    </w:p>
    <w:p w14:paraId="0A2999E7">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1、在中华人民共和国境内依法经国家工商、税务机关登记注册。</w:t>
      </w:r>
    </w:p>
    <w:p w14:paraId="50BAE68D">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2、投标人须为一般纳税人</w:t>
      </w:r>
      <w:r>
        <w:rPr>
          <w:rFonts w:hint="eastAsia" w:ascii="仿宋" w:hAnsi="仿宋" w:eastAsia="仿宋" w:cs="仿宋_GB2312"/>
          <w:sz w:val="24"/>
          <w:highlight w:val="none"/>
          <w:lang w:eastAsia="zh-CN"/>
        </w:rPr>
        <w:t>或小规模纳税人</w:t>
      </w:r>
      <w:r>
        <w:rPr>
          <w:rFonts w:hint="eastAsia" w:ascii="仿宋" w:hAnsi="仿宋" w:eastAsia="仿宋" w:cs="仿宋_GB2312"/>
          <w:sz w:val="24"/>
          <w:highlight w:val="none"/>
        </w:rPr>
        <w:t>。</w:t>
      </w:r>
    </w:p>
    <w:p w14:paraId="2E7A7CE3">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3、投标人提供的相关资质证件均须在年审有效期内。</w:t>
      </w:r>
    </w:p>
    <w:p w14:paraId="72E5087A">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4、有生产经营和安全许可要求的，必须有相应有效的许可证。</w:t>
      </w:r>
    </w:p>
    <w:p w14:paraId="6E38B1BC">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5、投标人近三年无重大失信和违法、违纪行为等不良记录。</w:t>
      </w:r>
    </w:p>
    <w:p w14:paraId="5E50A59A">
      <w:pPr>
        <w:spacing w:line="360" w:lineRule="auto"/>
        <w:rPr>
          <w:rFonts w:ascii="仿宋" w:hAnsi="仿宋" w:eastAsia="仿宋" w:cs="仿宋_GB2312"/>
          <w:sz w:val="24"/>
          <w:highlight w:val="none"/>
        </w:rPr>
      </w:pPr>
    </w:p>
    <w:p w14:paraId="2B54BFFE">
      <w:pPr>
        <w:spacing w:line="360" w:lineRule="auto"/>
        <w:rPr>
          <w:rFonts w:ascii="仿宋" w:hAnsi="仿宋" w:eastAsia="仿宋" w:cs="仿宋_GB2312"/>
          <w:b/>
          <w:sz w:val="24"/>
          <w:highlight w:val="none"/>
        </w:rPr>
      </w:pPr>
    </w:p>
    <w:p w14:paraId="59124F70">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四、招标公告发布的媒介及招标公告的获取</w:t>
      </w:r>
    </w:p>
    <w:p w14:paraId="1D2F617C">
      <w:pPr>
        <w:spacing w:line="360" w:lineRule="auto"/>
        <w:jc w:val="center"/>
        <w:rPr>
          <w:rFonts w:ascii="仿宋" w:hAnsi="仿宋" w:eastAsia="仿宋" w:cs="仿宋_GB2312"/>
          <w:b/>
          <w:sz w:val="24"/>
          <w:highlight w:val="none"/>
        </w:rPr>
      </w:pPr>
    </w:p>
    <w:p w14:paraId="1265C512">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本次招标公告（包括后期如有对招标文件所作的澄清、修改等。）将在铜冠建筑安装股份有限公司网（http://www.tltgja.com.cn/）在线招标--物资招标上发布。招标公告请投标人自行下载。</w:t>
      </w:r>
    </w:p>
    <w:p w14:paraId="7F651F48">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所有招标信息均以以上网站发布为准，其它任何形式的内容不作为招标投标以及开标评标的依据。</w:t>
      </w:r>
    </w:p>
    <w:p w14:paraId="72ABCE2B">
      <w:pPr>
        <w:spacing w:line="360" w:lineRule="auto"/>
        <w:ind w:firstLine="480" w:firstLineChars="200"/>
        <w:rPr>
          <w:rFonts w:ascii="仿宋" w:hAnsi="仿宋" w:eastAsia="仿宋" w:cs="仿宋_GB2312"/>
          <w:sz w:val="24"/>
          <w:highlight w:val="none"/>
        </w:rPr>
      </w:pPr>
    </w:p>
    <w:p w14:paraId="63535DB9">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五、投标报名</w:t>
      </w:r>
    </w:p>
    <w:p w14:paraId="5106457E">
      <w:pPr>
        <w:spacing w:line="360" w:lineRule="auto"/>
        <w:jc w:val="center"/>
        <w:rPr>
          <w:rFonts w:ascii="仿宋" w:hAnsi="仿宋" w:eastAsia="仿宋" w:cs="仿宋_GB2312"/>
          <w:b/>
          <w:sz w:val="24"/>
          <w:highlight w:val="none"/>
        </w:rPr>
      </w:pPr>
    </w:p>
    <w:p w14:paraId="4F24754A">
      <w:pPr>
        <w:spacing w:line="360" w:lineRule="auto"/>
        <w:ind w:firstLine="484" w:firstLineChars="202"/>
        <w:rPr>
          <w:rFonts w:ascii="仿宋" w:hAnsi="仿宋" w:eastAsia="仿宋" w:cs="仿宋_GB2312"/>
          <w:b/>
          <w:bCs/>
          <w:sz w:val="24"/>
          <w:highlight w:val="none"/>
        </w:rPr>
      </w:pPr>
      <w:r>
        <w:rPr>
          <w:rFonts w:hint="eastAsia" w:ascii="仿宋" w:hAnsi="仿宋" w:eastAsia="仿宋" w:cs="仿宋_GB2312"/>
          <w:sz w:val="24"/>
          <w:highlight w:val="none"/>
        </w:rPr>
        <w:t>1、各投标人须在指定时间前至铜冠建安公司报名，同时通过投标报名的资格审查。</w:t>
      </w:r>
      <w:r>
        <w:rPr>
          <w:rFonts w:hint="eastAsia" w:ascii="仿宋" w:hAnsi="仿宋" w:eastAsia="仿宋" w:cs="仿宋_GB2312"/>
          <w:b/>
          <w:bCs/>
          <w:sz w:val="24"/>
          <w:highlight w:val="none"/>
        </w:rPr>
        <w:t>因投标人未在指定要求时间报名或未通过资格审查的视为无效投标。</w:t>
      </w:r>
    </w:p>
    <w:p w14:paraId="1EE65F1B">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2、报名时投标人需提供报名资料。</w:t>
      </w:r>
      <w:r>
        <w:rPr>
          <w:rFonts w:hint="eastAsia" w:ascii="仿宋" w:hAnsi="仿宋" w:eastAsia="仿宋" w:cs="仿宋_GB2312"/>
          <w:sz w:val="24"/>
          <w:highlight w:val="none"/>
          <w:u w:val="single"/>
        </w:rPr>
        <w:t>报名资料包括营业执照副本的复印件、法人身份证复印件（经办人不是法人代表的要提供法人代表授权委托书、代理人身份证复印件）、投标人单位开票资料、投标保证金汇款回单等资料，以上资料均须法定代表人逐页签字并加盖公章（原章）。</w:t>
      </w:r>
    </w:p>
    <w:p w14:paraId="3D441ECB">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3、报名自招标公告发布之日起至</w:t>
      </w:r>
      <w:r>
        <w:rPr>
          <w:rFonts w:hint="eastAsia" w:ascii="仿宋" w:hAnsi="仿宋" w:eastAsia="仿宋" w:cs="仿宋_GB2312"/>
          <w:sz w:val="24"/>
          <w:highlight w:val="none"/>
          <w:u w:val="single"/>
        </w:rPr>
        <w:t>202</w:t>
      </w:r>
      <w:r>
        <w:rPr>
          <w:rFonts w:hint="eastAsia" w:ascii="仿宋" w:hAnsi="仿宋" w:eastAsia="仿宋" w:cs="仿宋_GB2312"/>
          <w:sz w:val="24"/>
          <w:highlight w:val="none"/>
          <w:u w:val="single"/>
          <w:lang w:val="en-US" w:eastAsia="zh-CN"/>
        </w:rPr>
        <w:t>5</w:t>
      </w:r>
      <w:r>
        <w:rPr>
          <w:rFonts w:hint="eastAsia" w:ascii="仿宋" w:hAnsi="仿宋" w:eastAsia="仿宋" w:cs="仿宋_GB2312"/>
          <w:sz w:val="24"/>
          <w:highlight w:val="none"/>
          <w:u w:val="single"/>
        </w:rPr>
        <w:t>年</w:t>
      </w:r>
      <w:r>
        <w:rPr>
          <w:rFonts w:hint="eastAsia" w:ascii="仿宋" w:hAnsi="仿宋" w:eastAsia="仿宋" w:cs="仿宋_GB2312"/>
          <w:sz w:val="24"/>
          <w:highlight w:val="none"/>
          <w:u w:val="single"/>
          <w:lang w:val="en-US" w:eastAsia="zh-CN"/>
        </w:rPr>
        <w:t>1</w:t>
      </w:r>
      <w:r>
        <w:rPr>
          <w:rFonts w:hint="eastAsia" w:ascii="仿宋" w:hAnsi="仿宋" w:eastAsia="仿宋" w:cs="仿宋_GB2312"/>
          <w:sz w:val="24"/>
          <w:highlight w:val="none"/>
          <w:u w:val="single"/>
        </w:rPr>
        <w:t>月</w:t>
      </w:r>
      <w:r>
        <w:rPr>
          <w:rFonts w:hint="eastAsia" w:ascii="仿宋" w:hAnsi="仿宋" w:eastAsia="仿宋" w:cs="仿宋_GB2312"/>
          <w:sz w:val="24"/>
          <w:highlight w:val="none"/>
          <w:u w:val="single"/>
          <w:lang w:val="en-US" w:eastAsia="zh-CN"/>
        </w:rPr>
        <w:t>15</w:t>
      </w:r>
      <w:r>
        <w:rPr>
          <w:rFonts w:hint="eastAsia" w:ascii="仿宋" w:hAnsi="仿宋" w:eastAsia="仿宋" w:cs="仿宋_GB2312"/>
          <w:sz w:val="24"/>
          <w:highlight w:val="none"/>
          <w:u w:val="single"/>
        </w:rPr>
        <w:t>日12:00止</w:t>
      </w:r>
    </w:p>
    <w:p w14:paraId="65B43C1E">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4、报名地点：</w:t>
      </w:r>
      <w:r>
        <w:rPr>
          <w:rFonts w:hint="eastAsia" w:ascii="仿宋" w:hAnsi="仿宋" w:eastAsia="仿宋" w:cs="仿宋_GB2312"/>
          <w:sz w:val="24"/>
          <w:highlight w:val="none"/>
          <w:u w:val="single"/>
        </w:rPr>
        <w:t>铜冠建安公司物资部（黄山大道南段879号主楼四楼）</w:t>
      </w:r>
    </w:p>
    <w:p w14:paraId="15BFB171">
      <w:pPr>
        <w:spacing w:line="360" w:lineRule="auto"/>
        <w:ind w:firstLine="480" w:firstLineChars="200"/>
        <w:rPr>
          <w:rFonts w:ascii="仿宋" w:hAnsi="仿宋" w:eastAsia="仿宋" w:cs="仿宋_GB2312"/>
          <w:b/>
          <w:sz w:val="24"/>
          <w:highlight w:val="none"/>
        </w:rPr>
      </w:pPr>
      <w:r>
        <w:rPr>
          <w:rFonts w:hint="eastAsia" w:ascii="仿宋" w:hAnsi="仿宋" w:eastAsia="仿宋" w:cs="仿宋_GB2312"/>
          <w:sz w:val="24"/>
          <w:highlight w:val="none"/>
        </w:rPr>
        <w:t>5、联 系 人：</w:t>
      </w:r>
      <w:r>
        <w:rPr>
          <w:rFonts w:hint="eastAsia" w:ascii="仿宋" w:hAnsi="仿宋" w:eastAsia="仿宋" w:cs="仿宋_GB2312"/>
          <w:sz w:val="24"/>
          <w:highlight w:val="none"/>
          <w:u w:val="single"/>
          <w:lang w:val="en-US" w:eastAsia="zh-CN"/>
        </w:rPr>
        <w:t>毛文文</w:t>
      </w:r>
      <w:r>
        <w:rPr>
          <w:rFonts w:hint="eastAsia" w:ascii="仿宋" w:hAnsi="仿宋" w:eastAsia="仿宋" w:cs="仿宋_GB2312"/>
          <w:sz w:val="24"/>
          <w:highlight w:val="none"/>
          <w:u w:val="single"/>
        </w:rPr>
        <w:t>（1</w:t>
      </w:r>
      <w:r>
        <w:rPr>
          <w:rFonts w:hint="eastAsia" w:ascii="仿宋" w:hAnsi="仿宋" w:eastAsia="仿宋" w:cs="仿宋_GB2312"/>
          <w:sz w:val="24"/>
          <w:highlight w:val="none"/>
          <w:u w:val="single"/>
          <w:lang w:val="en-US" w:eastAsia="zh-CN"/>
        </w:rPr>
        <w:t>5256639761</w:t>
      </w:r>
      <w:r>
        <w:rPr>
          <w:rFonts w:hint="eastAsia" w:ascii="仿宋" w:hAnsi="仿宋" w:eastAsia="仿宋" w:cs="仿宋_GB2312"/>
          <w:sz w:val="24"/>
          <w:highlight w:val="none"/>
          <w:u w:val="single"/>
        </w:rPr>
        <w:t>）</w:t>
      </w:r>
    </w:p>
    <w:p w14:paraId="578D0CBF">
      <w:pPr>
        <w:spacing w:line="360" w:lineRule="auto"/>
        <w:jc w:val="center"/>
        <w:rPr>
          <w:rFonts w:ascii="仿宋" w:hAnsi="仿宋" w:eastAsia="仿宋" w:cs="仿宋_GB2312"/>
          <w:b/>
          <w:sz w:val="24"/>
          <w:highlight w:val="none"/>
        </w:rPr>
      </w:pPr>
    </w:p>
    <w:p w14:paraId="04556347">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lang w:val="en-US" w:eastAsia="zh-CN"/>
        </w:rPr>
        <w:t>六</w:t>
      </w:r>
      <w:r>
        <w:rPr>
          <w:rFonts w:hint="eastAsia" w:ascii="仿宋" w:hAnsi="仿宋" w:eastAsia="仿宋" w:cs="仿宋_GB2312"/>
          <w:b/>
          <w:sz w:val="24"/>
          <w:highlight w:val="none"/>
        </w:rPr>
        <w:t>、 投标文件的递交</w:t>
      </w:r>
    </w:p>
    <w:p w14:paraId="3C44146E">
      <w:pPr>
        <w:spacing w:line="360" w:lineRule="auto"/>
        <w:jc w:val="center"/>
        <w:rPr>
          <w:rFonts w:ascii="仿宋" w:hAnsi="仿宋" w:eastAsia="仿宋" w:cs="仿宋_GB2312"/>
          <w:b/>
          <w:sz w:val="24"/>
          <w:highlight w:val="none"/>
        </w:rPr>
      </w:pPr>
    </w:p>
    <w:p w14:paraId="0A9D7E33">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1、投标文件递交的截止时间：</w:t>
      </w:r>
      <w:r>
        <w:rPr>
          <w:rFonts w:hint="eastAsia" w:ascii="仿宋" w:hAnsi="仿宋" w:eastAsia="仿宋" w:cs="仿宋_GB2312"/>
          <w:sz w:val="24"/>
          <w:highlight w:val="none"/>
          <w:u w:val="single"/>
        </w:rPr>
        <w:t>202</w:t>
      </w:r>
      <w:r>
        <w:rPr>
          <w:rFonts w:hint="eastAsia" w:ascii="仿宋" w:hAnsi="仿宋" w:eastAsia="仿宋" w:cs="仿宋_GB2312"/>
          <w:sz w:val="24"/>
          <w:highlight w:val="none"/>
          <w:u w:val="single"/>
          <w:lang w:val="en-US" w:eastAsia="zh-CN"/>
        </w:rPr>
        <w:t>5</w:t>
      </w:r>
      <w:r>
        <w:rPr>
          <w:rFonts w:hint="eastAsia" w:ascii="仿宋" w:hAnsi="仿宋" w:eastAsia="仿宋" w:cs="仿宋_GB2312"/>
          <w:sz w:val="24"/>
          <w:highlight w:val="none"/>
          <w:u w:val="single"/>
        </w:rPr>
        <w:t>年</w:t>
      </w:r>
      <w:r>
        <w:rPr>
          <w:rFonts w:hint="eastAsia" w:ascii="仿宋" w:hAnsi="仿宋" w:eastAsia="仿宋" w:cs="仿宋_GB2312"/>
          <w:sz w:val="24"/>
          <w:highlight w:val="none"/>
          <w:u w:val="single"/>
          <w:lang w:val="en-US" w:eastAsia="zh-CN"/>
        </w:rPr>
        <w:t>1</w:t>
      </w:r>
      <w:r>
        <w:rPr>
          <w:rFonts w:hint="eastAsia" w:ascii="仿宋" w:hAnsi="仿宋" w:eastAsia="仿宋" w:cs="仿宋_GB2312"/>
          <w:sz w:val="24"/>
          <w:highlight w:val="none"/>
          <w:u w:val="single"/>
        </w:rPr>
        <w:t>月</w:t>
      </w:r>
      <w:r>
        <w:rPr>
          <w:rFonts w:hint="eastAsia" w:ascii="仿宋" w:hAnsi="仿宋" w:eastAsia="仿宋" w:cs="仿宋_GB2312"/>
          <w:sz w:val="24"/>
          <w:highlight w:val="none"/>
          <w:u w:val="single"/>
          <w:lang w:val="en-US" w:eastAsia="zh-CN"/>
        </w:rPr>
        <w:t>16</w:t>
      </w:r>
      <w:r>
        <w:rPr>
          <w:rFonts w:hint="eastAsia" w:ascii="仿宋" w:hAnsi="仿宋" w:eastAsia="仿宋" w:cs="仿宋_GB2312"/>
          <w:sz w:val="24"/>
          <w:highlight w:val="none"/>
          <w:u w:val="single"/>
        </w:rPr>
        <w:t>日9:00</w:t>
      </w:r>
    </w:p>
    <w:p w14:paraId="4384A6C0">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2、投标文件递交地点：铜陵有色金属集团铜冠建筑安装股份有限公司经营部（黄山大道南段879号主楼四楼）</w:t>
      </w:r>
    </w:p>
    <w:p w14:paraId="518C7401">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3、投标文件收件人：</w:t>
      </w:r>
      <w:r>
        <w:rPr>
          <w:rFonts w:hint="eastAsia" w:ascii="仿宋" w:hAnsi="仿宋" w:eastAsia="仿宋" w:cs="仿宋_GB2312"/>
          <w:sz w:val="24"/>
          <w:highlight w:val="none"/>
          <w:u w:val="single"/>
        </w:rPr>
        <w:t>黄赟（18656211500）。</w:t>
      </w:r>
    </w:p>
    <w:p w14:paraId="2AC23537">
      <w:pPr>
        <w:spacing w:line="360" w:lineRule="auto"/>
        <w:ind w:firstLine="480" w:firstLineChars="200"/>
        <w:rPr>
          <w:rFonts w:ascii="仿宋" w:hAnsi="仿宋" w:eastAsia="仿宋" w:cs="仿宋_GB2312"/>
          <w:b/>
          <w:sz w:val="24"/>
          <w:highlight w:val="none"/>
        </w:rPr>
      </w:pPr>
      <w:r>
        <w:rPr>
          <w:rFonts w:hint="eastAsia" w:ascii="仿宋" w:hAnsi="仿宋" w:eastAsia="仿宋" w:cs="仿宋_GB2312"/>
          <w:sz w:val="24"/>
          <w:highlight w:val="none"/>
        </w:rPr>
        <w:t>4、逾期送达的或未按规定送达指定地点的投标文件，招标人不予受理。</w:t>
      </w:r>
    </w:p>
    <w:p w14:paraId="75091FBD">
      <w:pPr>
        <w:spacing w:line="360" w:lineRule="auto"/>
        <w:jc w:val="center"/>
        <w:rPr>
          <w:rFonts w:ascii="仿宋" w:hAnsi="仿宋" w:eastAsia="仿宋" w:cs="仿宋_GB2312"/>
          <w:b/>
          <w:sz w:val="24"/>
          <w:highlight w:val="none"/>
        </w:rPr>
      </w:pPr>
    </w:p>
    <w:p w14:paraId="30A744E0">
      <w:pPr>
        <w:spacing w:line="360" w:lineRule="auto"/>
        <w:jc w:val="center"/>
        <w:rPr>
          <w:rFonts w:ascii="仿宋" w:hAnsi="仿宋" w:eastAsia="仿宋" w:cs="仿宋_GB2312"/>
          <w:b/>
          <w:sz w:val="24"/>
          <w:highlight w:val="none"/>
        </w:rPr>
      </w:pPr>
    </w:p>
    <w:p w14:paraId="7BDF07C8">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八、投标人须知</w:t>
      </w:r>
    </w:p>
    <w:p w14:paraId="00DDD31D">
      <w:pPr>
        <w:spacing w:line="360" w:lineRule="auto"/>
        <w:jc w:val="center"/>
        <w:rPr>
          <w:rFonts w:ascii="仿宋" w:hAnsi="仿宋" w:eastAsia="仿宋" w:cs="仿宋_GB2312"/>
          <w:b/>
          <w:sz w:val="24"/>
          <w:highlight w:val="none"/>
        </w:rPr>
      </w:pPr>
    </w:p>
    <w:p w14:paraId="476A0CC4">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1、本次招标材料的质量相关要求</w:t>
      </w:r>
    </w:p>
    <w:p w14:paraId="56E32AD9">
      <w:pPr>
        <w:spacing w:line="360" w:lineRule="auto"/>
        <w:ind w:firstLine="547" w:firstLineChars="228"/>
        <w:rPr>
          <w:rFonts w:hint="eastAsia" w:ascii="仿宋" w:hAnsi="仿宋" w:eastAsia="仿宋" w:cs="仿宋"/>
          <w:sz w:val="24"/>
          <w:szCs w:val="24"/>
          <w:highlight w:val="none"/>
        </w:rPr>
      </w:pPr>
      <w:r>
        <w:rPr>
          <w:rFonts w:hint="eastAsia" w:ascii="仿宋" w:hAnsi="仿宋" w:eastAsia="仿宋" w:cs="仿宋_GB2312"/>
          <w:sz w:val="24"/>
          <w:highlight w:val="none"/>
        </w:rPr>
        <w:t>（1）</w:t>
      </w:r>
      <w:r>
        <w:rPr>
          <w:rFonts w:hint="eastAsia" w:ascii="仿宋" w:hAnsi="仿宋" w:eastAsia="仿宋" w:cs="仿宋"/>
          <w:sz w:val="24"/>
          <w:highlight w:val="none"/>
        </w:rPr>
        <w:t>材</w:t>
      </w:r>
      <w:r>
        <w:rPr>
          <w:rFonts w:hint="eastAsia" w:ascii="仿宋" w:hAnsi="仿宋" w:eastAsia="仿宋" w:cs="仿宋"/>
          <w:sz w:val="24"/>
          <w:szCs w:val="24"/>
          <w:highlight w:val="none"/>
        </w:rPr>
        <w:t>料质量要求</w:t>
      </w:r>
      <w:r>
        <w:rPr>
          <w:rFonts w:hint="eastAsia" w:ascii="仿宋" w:hAnsi="仿宋" w:eastAsia="仿宋" w:cs="仿宋"/>
          <w:sz w:val="24"/>
          <w:szCs w:val="24"/>
          <w:highlight w:val="none"/>
          <w:lang w:eastAsia="zh-CN"/>
        </w:rPr>
        <w:t>：</w:t>
      </w:r>
      <w:r>
        <w:rPr>
          <w:rFonts w:hint="eastAsia" w:ascii="仿宋" w:hAnsi="仿宋" w:eastAsia="仿宋" w:cs="仿宋"/>
          <w:color w:val="333333"/>
          <w:sz w:val="24"/>
          <w:szCs w:val="24"/>
          <w:shd w:val="clear" w:color="auto" w:fill="FFFFFF"/>
          <w:lang w:eastAsia="zh-CN"/>
        </w:rPr>
        <w:t>符合国家最新标准和招标文件要求</w:t>
      </w:r>
      <w:r>
        <w:rPr>
          <w:rFonts w:hint="eastAsia" w:ascii="仿宋" w:hAnsi="仿宋" w:eastAsia="仿宋" w:cs="仿宋"/>
          <w:color w:val="333333"/>
          <w:sz w:val="24"/>
          <w:szCs w:val="24"/>
          <w:shd w:val="clear" w:color="auto" w:fill="FFFFFF"/>
        </w:rPr>
        <w:t>。</w:t>
      </w:r>
    </w:p>
    <w:p w14:paraId="2CE25CFD">
      <w:pPr>
        <w:spacing w:line="360" w:lineRule="auto"/>
        <w:ind w:firstLine="547" w:firstLineChars="228"/>
        <w:rPr>
          <w:rFonts w:ascii="仿宋" w:hAnsi="仿宋" w:eastAsia="仿宋" w:cs="仿宋_GB2312"/>
          <w:sz w:val="24"/>
          <w:highlight w:val="none"/>
        </w:rPr>
      </w:pPr>
      <w:r>
        <w:rPr>
          <w:rFonts w:hint="eastAsia" w:ascii="仿宋" w:hAnsi="仿宋" w:eastAsia="仿宋" w:cs="仿宋"/>
          <w:sz w:val="24"/>
          <w:szCs w:val="24"/>
          <w:highlight w:val="none"/>
        </w:rPr>
        <w:t>（2）投标人如若中标</w:t>
      </w:r>
      <w:r>
        <w:rPr>
          <w:rFonts w:hint="eastAsia" w:ascii="仿宋" w:hAnsi="仿宋" w:eastAsia="仿宋" w:cs="仿宋_GB2312"/>
          <w:sz w:val="24"/>
          <w:highlight w:val="none"/>
        </w:rPr>
        <w:t>，提供的材料必须符合技术指标要求。</w:t>
      </w:r>
    </w:p>
    <w:p w14:paraId="24498C1D">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（3）若达不到招标人要求的，中标人无条件将该车货物拉回且不计货款，动用招标人机械装货收取</w:t>
      </w:r>
      <w:r>
        <w:rPr>
          <w:rFonts w:hint="eastAsia" w:ascii="仿宋" w:hAnsi="仿宋" w:eastAsia="仿宋" w:cs="仿宋_GB2312"/>
          <w:b/>
          <w:bCs/>
          <w:color w:val="FF0000"/>
          <w:sz w:val="24"/>
          <w:highlight w:val="none"/>
          <w:u w:val="single"/>
        </w:rPr>
        <w:t>500</w:t>
      </w:r>
      <w:r>
        <w:rPr>
          <w:rFonts w:hint="eastAsia" w:ascii="仿宋" w:hAnsi="仿宋" w:eastAsia="仿宋" w:cs="仿宋_GB2312"/>
          <w:sz w:val="24"/>
          <w:highlight w:val="none"/>
        </w:rPr>
        <w:t>元/车装车费。</w:t>
      </w:r>
    </w:p>
    <w:p w14:paraId="13285460">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（4）因材料产品质量不合格所造成的相关质量问题，没收中标人履约保证金，给招标人造成的损失超过履约保证金数额的，中标人还应当对超过部分予以赔偿，同时</w:t>
      </w:r>
      <w:r>
        <w:rPr>
          <w:rFonts w:hint="eastAsia" w:ascii="仿宋" w:hAnsi="仿宋" w:eastAsia="仿宋" w:cs="仿宋_GB2312"/>
          <w:sz w:val="24"/>
          <w:highlight w:val="none"/>
          <w:u w:val="single"/>
        </w:rPr>
        <w:t>一年内</w:t>
      </w:r>
      <w:r>
        <w:rPr>
          <w:rFonts w:hint="eastAsia" w:ascii="仿宋" w:hAnsi="仿宋" w:eastAsia="仿宋" w:cs="仿宋_GB2312"/>
          <w:sz w:val="24"/>
          <w:highlight w:val="none"/>
        </w:rPr>
        <w:t>禁止参加铜冠建安公司招标。</w:t>
      </w:r>
    </w:p>
    <w:p w14:paraId="4E5009BD">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2、交货地点</w:t>
      </w:r>
    </w:p>
    <w:p w14:paraId="19CEFBF3">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材料送至铜冠建安公司</w:t>
      </w:r>
      <w:r>
        <w:rPr>
          <w:rFonts w:hint="eastAsia" w:ascii="仿宋" w:hAnsi="仿宋" w:eastAsia="仿宋" w:cs="仿宋_GB2312"/>
          <w:sz w:val="24"/>
          <w:highlight w:val="none"/>
          <w:lang w:val="en-US" w:eastAsia="zh-CN"/>
        </w:rPr>
        <w:t>铜陵市内各</w:t>
      </w:r>
      <w:r>
        <w:rPr>
          <w:rFonts w:hint="eastAsia" w:ascii="仿宋" w:hAnsi="仿宋" w:eastAsia="仿宋" w:cs="仿宋_GB2312"/>
          <w:sz w:val="24"/>
          <w:highlight w:val="none"/>
          <w:lang w:eastAsia="zh-CN"/>
        </w:rPr>
        <w:t>项目现场</w:t>
      </w:r>
      <w:r>
        <w:rPr>
          <w:rFonts w:hint="eastAsia" w:ascii="仿宋" w:hAnsi="仿宋" w:eastAsia="仿宋" w:cs="仿宋_GB2312"/>
          <w:sz w:val="24"/>
          <w:highlight w:val="none"/>
        </w:rPr>
        <w:t>。</w:t>
      </w:r>
    </w:p>
    <w:p w14:paraId="75320A12">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3、运输要求</w:t>
      </w:r>
    </w:p>
    <w:p w14:paraId="6291A17A">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本次招标的材料由中标人负责运输。运输过程中未按相关安全、环保等要求所导致的一切安全环保生产事故由中标人承担责任。</w:t>
      </w:r>
    </w:p>
    <w:p w14:paraId="62CD59D5">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4、报价相关要求</w:t>
      </w:r>
    </w:p>
    <w:p w14:paraId="6B58EF81">
      <w:pPr>
        <w:spacing w:line="360" w:lineRule="auto"/>
        <w:ind w:firstLine="480" w:firstLineChars="200"/>
        <w:rPr>
          <w:rFonts w:hint="eastAsia" w:ascii="仿宋" w:hAnsi="仿宋" w:eastAsia="仿宋" w:cs="仿宋_GB2312"/>
          <w:sz w:val="24"/>
          <w:highlight w:val="none"/>
        </w:rPr>
      </w:pPr>
      <w:r>
        <w:rPr>
          <w:rFonts w:hint="eastAsia" w:ascii="仿宋" w:hAnsi="仿宋" w:eastAsia="仿宋" w:cs="仿宋_GB2312"/>
          <w:sz w:val="24"/>
          <w:highlight w:val="none"/>
          <w:lang w:eastAsia="zh-CN"/>
        </w:rPr>
        <w:t>（</w:t>
      </w:r>
      <w:r>
        <w:rPr>
          <w:rFonts w:hint="eastAsia" w:ascii="仿宋" w:hAnsi="仿宋" w:eastAsia="仿宋" w:cs="仿宋_GB2312"/>
          <w:sz w:val="24"/>
          <w:highlight w:val="none"/>
          <w:lang w:val="en-US" w:eastAsia="zh-CN"/>
        </w:rPr>
        <w:t>1</w:t>
      </w:r>
      <w:r>
        <w:rPr>
          <w:rFonts w:hint="eastAsia" w:ascii="仿宋" w:hAnsi="仿宋" w:eastAsia="仿宋" w:cs="仿宋_GB2312"/>
          <w:sz w:val="24"/>
          <w:highlight w:val="none"/>
          <w:lang w:eastAsia="zh-CN"/>
        </w:rPr>
        <w:t>）</w:t>
      </w:r>
      <w:bookmarkStart w:id="0" w:name="OLE_LINK5"/>
      <w:r>
        <w:rPr>
          <w:rFonts w:hint="eastAsia" w:ascii="仿宋" w:hAnsi="仿宋" w:eastAsia="仿宋" w:cs="仿宋_GB2312"/>
          <w:sz w:val="24"/>
          <w:highlight w:val="none"/>
        </w:rPr>
        <w:t>本次招标价为含税含运费一票制价格。</w:t>
      </w:r>
      <w:bookmarkEnd w:id="0"/>
    </w:p>
    <w:p w14:paraId="72F3E24F">
      <w:pPr>
        <w:spacing w:line="360" w:lineRule="auto"/>
        <w:ind w:firstLine="480" w:firstLineChars="200"/>
        <w:rPr>
          <w:rFonts w:hint="eastAsia" w:ascii="仿宋" w:hAnsi="仿宋" w:eastAsia="仿宋" w:cs="仿宋_GB2312"/>
          <w:sz w:val="24"/>
          <w:highlight w:val="none"/>
        </w:rPr>
      </w:pPr>
      <w:r>
        <w:rPr>
          <w:rFonts w:hint="eastAsia" w:ascii="仿宋" w:hAnsi="仿宋" w:eastAsia="仿宋" w:cs="仿宋_GB2312"/>
          <w:sz w:val="24"/>
          <w:highlight w:val="none"/>
          <w:lang w:eastAsia="zh-CN"/>
        </w:rPr>
        <w:t>（</w:t>
      </w:r>
      <w:r>
        <w:rPr>
          <w:rFonts w:hint="eastAsia" w:ascii="仿宋" w:hAnsi="仿宋" w:eastAsia="仿宋" w:cs="仿宋_GB2312"/>
          <w:sz w:val="24"/>
          <w:highlight w:val="none"/>
          <w:lang w:val="en-US" w:eastAsia="zh-CN"/>
        </w:rPr>
        <w:t>2</w:t>
      </w:r>
      <w:r>
        <w:rPr>
          <w:rFonts w:hint="eastAsia" w:ascii="仿宋" w:hAnsi="仿宋" w:eastAsia="仿宋" w:cs="仿宋_GB2312"/>
          <w:sz w:val="24"/>
          <w:highlight w:val="none"/>
          <w:lang w:eastAsia="zh-CN"/>
        </w:rPr>
        <w:t>）</w:t>
      </w:r>
      <w:r>
        <w:rPr>
          <w:rFonts w:hint="eastAsia" w:ascii="仿宋" w:hAnsi="仿宋" w:eastAsia="仿宋" w:cs="仿宋_GB2312"/>
          <w:sz w:val="24"/>
          <w:highlight w:val="none"/>
        </w:rPr>
        <w:t>一经中标，合同期内价格不予调整。</w:t>
      </w:r>
    </w:p>
    <w:p w14:paraId="789F8673">
      <w:pPr>
        <w:pStyle w:val="2"/>
        <w:ind w:left="0" w:leftChars="0" w:firstLine="480" w:firstLineChars="200"/>
        <w:rPr>
          <w:rFonts w:hint="default" w:ascii="仿宋" w:hAnsi="仿宋" w:eastAsia="仿宋" w:cs="仿宋_GB2312"/>
          <w:color w:val="auto"/>
          <w:sz w:val="24"/>
          <w:highlight w:val="none"/>
          <w:lang w:val="en-US" w:eastAsia="zh-CN"/>
        </w:rPr>
      </w:pPr>
      <w:r>
        <w:rPr>
          <w:rFonts w:hint="eastAsia" w:ascii="仿宋" w:hAnsi="仿宋" w:eastAsia="仿宋" w:cs="仿宋_GB2312"/>
          <w:sz w:val="24"/>
          <w:highlight w:val="none"/>
          <w:lang w:val="en-US" w:eastAsia="zh-CN"/>
        </w:rPr>
        <w:t>（3）</w:t>
      </w:r>
      <w:r>
        <w:rPr>
          <w:rFonts w:hint="eastAsia" w:ascii="仿宋" w:hAnsi="仿宋" w:eastAsia="仿宋" w:cs="仿宋_GB2312"/>
          <w:color w:val="auto"/>
          <w:sz w:val="24"/>
          <w:highlight w:val="none"/>
          <w:lang w:val="en-US" w:eastAsia="zh-CN"/>
        </w:rPr>
        <w:t>报价方式：</w:t>
      </w:r>
      <w:bookmarkStart w:id="1" w:name="OLE_LINK6"/>
      <w:r>
        <w:rPr>
          <w:rFonts w:hint="eastAsia" w:ascii="仿宋" w:hAnsi="仿宋" w:eastAsia="仿宋" w:cs="仿宋_GB2312"/>
          <w:color w:val="auto"/>
          <w:sz w:val="24"/>
          <w:highlight w:val="none"/>
          <w:lang w:val="en-US" w:eastAsia="zh-CN"/>
        </w:rPr>
        <w:t>以（2025年1月8日）铜陵上峰水泥PO42.5袋装水泥挂牌价350元/吨为当前基准价，投标请报上浮值或下浮值（报价含税含运输费用），后期供应价格按供货当天铜陵上峰水泥PO42.5袋装水泥挂牌价相对于基准价做同步调整</w:t>
      </w:r>
      <w:bookmarkEnd w:id="1"/>
      <w:r>
        <w:rPr>
          <w:rFonts w:hint="eastAsia" w:ascii="仿宋" w:hAnsi="仿宋" w:eastAsia="仿宋" w:cs="仿宋_GB2312"/>
          <w:color w:val="auto"/>
          <w:sz w:val="24"/>
          <w:highlight w:val="none"/>
          <w:lang w:val="en-US" w:eastAsia="zh-CN"/>
        </w:rPr>
        <w:t>；以（2025年1月8日）铜陵上峰水泥M32.5袋装水泥挂牌价300元/吨为当前基准价，投标请报上浮值或下浮值（报价含税含运输费用），后期供应价格按供货当天铜陵海螺M32.5袋装水泥挂牌价相对于基准价做同步调整。</w:t>
      </w:r>
    </w:p>
    <w:p w14:paraId="6CEB7250">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5、标书相关要求</w:t>
      </w:r>
    </w:p>
    <w:p w14:paraId="0F0223C0">
      <w:pPr>
        <w:spacing w:line="360" w:lineRule="auto"/>
        <w:ind w:firstLine="480" w:firstLineChars="200"/>
        <w:rPr>
          <w:rFonts w:ascii="仿宋" w:hAnsi="仿宋" w:eastAsia="仿宋" w:cs="仿宋_GB2312"/>
          <w:b/>
          <w:bCs/>
          <w:sz w:val="24"/>
          <w:highlight w:val="none"/>
        </w:rPr>
      </w:pPr>
      <w:r>
        <w:rPr>
          <w:rFonts w:hint="eastAsia" w:ascii="仿宋" w:hAnsi="仿宋" w:eastAsia="仿宋" w:cs="仿宋_GB2312"/>
          <w:sz w:val="24"/>
          <w:highlight w:val="none"/>
        </w:rPr>
        <w:t>（1）投标法定代表人应在报价单相应位置签字及加盖公章，如经办人不是法人代表，须提供本人身份证复印件、法人身份证复印件、投标廉洁承诺书及有法人代表签字的《法人代表授权书》，以上资料须法定代表人逐页签字并加盖公章（原章）作为投标资料的一部分。</w:t>
      </w:r>
      <w:r>
        <w:rPr>
          <w:rFonts w:hint="eastAsia" w:ascii="仿宋" w:hAnsi="仿宋" w:eastAsia="仿宋" w:cs="仿宋_GB2312"/>
          <w:b/>
          <w:bCs/>
          <w:sz w:val="24"/>
          <w:highlight w:val="none"/>
        </w:rPr>
        <w:t>以上事项不符合要求的视为无效投标。</w:t>
      </w:r>
    </w:p>
    <w:p w14:paraId="7409B194">
      <w:pPr>
        <w:spacing w:line="360" w:lineRule="auto"/>
        <w:ind w:firstLine="480" w:firstLineChars="200"/>
        <w:rPr>
          <w:rFonts w:ascii="仿宋" w:hAnsi="仿宋" w:eastAsia="仿宋" w:cs="仿宋_GB2312"/>
          <w:b/>
          <w:bCs/>
          <w:sz w:val="24"/>
          <w:highlight w:val="none"/>
        </w:rPr>
      </w:pPr>
      <w:r>
        <w:rPr>
          <w:rFonts w:hint="eastAsia" w:ascii="仿宋" w:hAnsi="仿宋" w:eastAsia="仿宋" w:cs="仿宋_GB2312"/>
          <w:sz w:val="24"/>
          <w:highlight w:val="none"/>
        </w:rPr>
        <w:t>（2）投标文件密封袋封口处应密封完整，加盖投标单位公章，并且注明招标编号及材料名称。因投标人制作、密封、寄送报价文件</w:t>
      </w:r>
      <w:r>
        <w:rPr>
          <w:rFonts w:hint="eastAsia" w:ascii="仿宋" w:hAnsi="仿宋" w:eastAsia="仿宋" w:cs="仿宋_GB2312"/>
          <w:b/>
          <w:bCs/>
          <w:sz w:val="24"/>
          <w:highlight w:val="none"/>
        </w:rPr>
        <w:t>不符合要求的视为无效投标。</w:t>
      </w:r>
    </w:p>
    <w:p w14:paraId="124FD5F5">
      <w:pPr>
        <w:spacing w:line="360" w:lineRule="auto"/>
        <w:ind w:firstLine="547" w:firstLineChars="228"/>
        <w:rPr>
          <w:rFonts w:ascii="仿宋" w:hAnsi="仿宋" w:eastAsia="仿宋" w:cs="仿宋_GB2312"/>
          <w:b/>
          <w:bCs/>
          <w:sz w:val="24"/>
          <w:highlight w:val="none"/>
        </w:rPr>
      </w:pPr>
      <w:r>
        <w:rPr>
          <w:rFonts w:hint="eastAsia" w:ascii="仿宋" w:hAnsi="仿宋" w:eastAsia="仿宋" w:cs="仿宋_GB2312"/>
          <w:sz w:val="24"/>
          <w:highlight w:val="none"/>
        </w:rPr>
        <w:t>（3）投标保证金汇款凭证复印件必须内附在投标文件中。</w:t>
      </w:r>
      <w:r>
        <w:rPr>
          <w:rFonts w:hint="eastAsia" w:ascii="仿宋" w:hAnsi="仿宋" w:eastAsia="仿宋" w:cs="仿宋_GB2312"/>
          <w:b/>
          <w:bCs/>
          <w:sz w:val="24"/>
          <w:highlight w:val="none"/>
        </w:rPr>
        <w:t>无投标保证金或投标保证金汇款凭证复印件未内附在投标文件中的，视为无效投标。</w:t>
      </w:r>
    </w:p>
    <w:p w14:paraId="2DCBA2E6">
      <w:pPr>
        <w:spacing w:line="360" w:lineRule="auto"/>
        <w:ind w:firstLine="484" w:firstLineChars="202"/>
        <w:rPr>
          <w:rFonts w:ascii="仿宋" w:hAnsi="仿宋" w:eastAsia="仿宋" w:cs="仿宋_GB2312"/>
          <w:sz w:val="24"/>
          <w:highlight w:val="none"/>
        </w:rPr>
      </w:pPr>
      <w:r>
        <w:rPr>
          <w:rFonts w:hint="eastAsia" w:ascii="仿宋" w:hAnsi="仿宋" w:eastAsia="仿宋" w:cs="仿宋_GB2312"/>
          <w:sz w:val="24"/>
          <w:highlight w:val="none"/>
        </w:rPr>
        <w:t>（4）投标人的所有报价文件，除《法定代表人授权书》中的法定代表人签名、投标廉洁承诺书中的承诺人签字、报价单中的法定代表人或授权委托人签名须手写以外，其他填写的内容均为加盖投标公章（原章）的打印件。</w:t>
      </w:r>
      <w:r>
        <w:rPr>
          <w:rFonts w:hint="eastAsia" w:ascii="仿宋" w:hAnsi="仿宋" w:eastAsia="仿宋" w:cs="仿宋_GB2312"/>
          <w:b/>
          <w:bCs/>
          <w:sz w:val="24"/>
          <w:highlight w:val="none"/>
        </w:rPr>
        <w:t>以上事项不符合要求的视为无效投标。</w:t>
      </w:r>
    </w:p>
    <w:p w14:paraId="5F44D3CD">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（5）装订要求</w:t>
      </w:r>
    </w:p>
    <w:p w14:paraId="0D982FF6">
      <w:pPr>
        <w:spacing w:line="360" w:lineRule="auto"/>
        <w:ind w:firstLine="484" w:firstLineChars="202"/>
        <w:rPr>
          <w:rFonts w:ascii="仿宋" w:hAnsi="仿宋" w:eastAsia="仿宋" w:cs="仿宋_GB2312"/>
          <w:sz w:val="24"/>
          <w:highlight w:val="none"/>
        </w:rPr>
      </w:pPr>
      <w:r>
        <w:rPr>
          <w:rFonts w:hint="eastAsia" w:ascii="仿宋" w:hAnsi="仿宋" w:eastAsia="仿宋" w:cs="仿宋_GB2312"/>
          <w:sz w:val="24"/>
          <w:highlight w:val="none"/>
          <w:u w:val="single"/>
        </w:rPr>
        <w:t>密封袋封口处应密封严实，并应加盖投标人公章。未按装订要求装订的，招标单位不负责相关保密要求，</w:t>
      </w:r>
      <w:r>
        <w:rPr>
          <w:rFonts w:hint="eastAsia" w:ascii="仿宋" w:hAnsi="仿宋" w:eastAsia="仿宋" w:cs="仿宋_GB2312"/>
          <w:b/>
          <w:bCs/>
          <w:sz w:val="24"/>
          <w:highlight w:val="none"/>
          <w:u w:val="single"/>
        </w:rPr>
        <w:t>同时视为无效投标</w:t>
      </w:r>
      <w:r>
        <w:rPr>
          <w:rFonts w:hint="eastAsia" w:ascii="仿宋" w:hAnsi="仿宋" w:eastAsia="仿宋" w:cs="仿宋_GB2312"/>
          <w:sz w:val="24"/>
          <w:highlight w:val="none"/>
          <w:u w:val="single"/>
        </w:rPr>
        <w:t>。</w:t>
      </w:r>
    </w:p>
    <w:p w14:paraId="197A6ED7">
      <w:pPr>
        <w:numPr>
          <w:ilvl w:val="0"/>
          <w:numId w:val="2"/>
        </w:num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结算数量</w:t>
      </w:r>
    </w:p>
    <w:p w14:paraId="1B7BBA66">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（1）以招标人现场签字验收的收货单数量为准，</w:t>
      </w:r>
    </w:p>
    <w:p w14:paraId="2B0C96CF">
      <w:pPr>
        <w:spacing w:line="360" w:lineRule="auto"/>
        <w:ind w:firstLine="480" w:firstLineChars="200"/>
        <w:rPr>
          <w:rFonts w:hint="eastAsia" w:ascii="仿宋" w:hAnsi="仿宋" w:eastAsia="仿宋" w:cs="仿宋_GB2312"/>
          <w:sz w:val="24"/>
          <w:highlight w:val="none"/>
          <w:lang w:eastAsia="zh-CN"/>
        </w:rPr>
      </w:pPr>
      <w:r>
        <w:rPr>
          <w:rFonts w:hint="eastAsia" w:ascii="仿宋" w:hAnsi="仿宋" w:eastAsia="仿宋" w:cs="仿宋_GB2312"/>
          <w:sz w:val="24"/>
          <w:highlight w:val="none"/>
        </w:rPr>
        <w:t>（2）涉及过磅材料，招标人有抽磅的权利，如抽磅数量与送货单数量负误差超过千分之三，以招标人抽磅数量结算且扣除该车50%货款，如发生三次以上，招标人有权解除合同。</w:t>
      </w:r>
    </w:p>
    <w:p w14:paraId="0104B970">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7、结算价格</w:t>
      </w:r>
    </w:p>
    <w:p w14:paraId="7B437111">
      <w:pPr>
        <w:spacing w:line="360" w:lineRule="auto"/>
        <w:ind w:firstLine="480" w:firstLineChars="200"/>
        <w:rPr>
          <w:rFonts w:hint="eastAsia" w:ascii="仿宋" w:hAnsi="仿宋" w:eastAsia="仿宋" w:cs="仿宋"/>
          <w:spacing w:val="-17"/>
          <w:sz w:val="24"/>
          <w:szCs w:val="24"/>
          <w:highlight w:val="none"/>
        </w:rPr>
      </w:pPr>
      <w:r>
        <w:rPr>
          <w:rFonts w:hint="eastAsia" w:ascii="仿宋" w:hAnsi="仿宋" w:eastAsia="仿宋" w:cs="仿宋_GB2312"/>
          <w:sz w:val="24"/>
          <w:highlight w:val="none"/>
          <w:u w:val="single"/>
        </w:rPr>
        <w:t>各</w:t>
      </w:r>
      <w:r>
        <w:rPr>
          <w:rFonts w:hint="eastAsia" w:ascii="仿宋" w:hAnsi="仿宋" w:eastAsia="仿宋" w:cs="仿宋"/>
          <w:sz w:val="24"/>
          <w:szCs w:val="24"/>
          <w:highlight w:val="none"/>
          <w:u w:val="single"/>
        </w:rPr>
        <w:t>投标单位报价须谨慎，一旦中标不得以任何理由变更报价</w:t>
      </w:r>
      <w:r>
        <w:rPr>
          <w:rFonts w:hint="eastAsia" w:ascii="仿宋" w:hAnsi="仿宋" w:eastAsia="仿宋" w:cs="仿宋"/>
          <w:spacing w:val="-17"/>
          <w:sz w:val="24"/>
          <w:szCs w:val="24"/>
          <w:highlight w:val="none"/>
          <w:u w:val="single"/>
        </w:rPr>
        <w:t>。</w:t>
      </w:r>
    </w:p>
    <w:p w14:paraId="7D8B4C19">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8、</w:t>
      </w:r>
      <w:r>
        <w:rPr>
          <w:rFonts w:hint="eastAsia" w:ascii="仿宋" w:hAnsi="仿宋" w:eastAsia="仿宋" w:cs="仿宋"/>
          <w:sz w:val="24"/>
          <w:szCs w:val="24"/>
        </w:rPr>
        <w:t>合同签订和付款方式</w:t>
      </w:r>
    </w:p>
    <w:p w14:paraId="5ACCA240">
      <w:pPr>
        <w:spacing w:line="360" w:lineRule="auto"/>
        <w:ind w:firstLine="480" w:firstLineChars="200"/>
        <w:rPr>
          <w:rFonts w:hint="eastAsia" w:ascii="仿宋" w:hAnsi="仿宋" w:eastAsia="仿宋" w:cs="仿宋"/>
          <w:b/>
          <w:sz w:val="24"/>
          <w:szCs w:val="24"/>
          <w:highlight w:val="none"/>
          <w:u w:val="single"/>
          <w:lang w:eastAsia="zh-CN"/>
        </w:rPr>
      </w:pPr>
      <w:r>
        <w:rPr>
          <w:rFonts w:hint="eastAsia" w:ascii="仿宋" w:hAnsi="仿宋" w:eastAsia="仿宋" w:cs="仿宋_GB2312"/>
          <w:color w:val="000000" w:themeColor="text1"/>
          <w:sz w:val="24"/>
          <w:highlight w:val="none"/>
          <w:u w:val="single"/>
          <w14:textFill>
            <w14:solidFill>
              <w14:schemeClr w14:val="tx1"/>
            </w14:solidFill>
          </w14:textFill>
        </w:rPr>
        <w:t>合同签订后，</w:t>
      </w:r>
      <w:r>
        <w:rPr>
          <w:rFonts w:hint="eastAsia" w:ascii="仿宋" w:hAnsi="仿宋" w:eastAsia="仿宋" w:cs="仿宋"/>
          <w:color w:val="000000" w:themeColor="text1"/>
          <w:sz w:val="24"/>
          <w:highlight w:val="none"/>
          <w:u w:val="single"/>
          <w14:textFill>
            <w14:solidFill>
              <w14:schemeClr w14:val="tx1"/>
            </w14:solidFill>
          </w14:textFill>
        </w:rPr>
        <w:t>货到验收合格后开具发票，入账次月支付40%，</w:t>
      </w:r>
      <w:r>
        <w:rPr>
          <w:rFonts w:hint="eastAsia" w:ascii="仿宋" w:hAnsi="仿宋" w:eastAsia="仿宋" w:cs="仿宋"/>
          <w:color w:val="000000" w:themeColor="text1"/>
          <w:sz w:val="24"/>
          <w:highlight w:val="none"/>
          <w:u w:val="single"/>
          <w:lang w:val="en-US" w:eastAsia="zh-CN"/>
          <w14:textFill>
            <w14:solidFill>
              <w14:schemeClr w14:val="tx1"/>
            </w14:solidFill>
          </w14:textFill>
        </w:rPr>
        <w:t>2026年2月份</w:t>
      </w:r>
      <w:r>
        <w:rPr>
          <w:rFonts w:hint="eastAsia" w:ascii="仿宋" w:hAnsi="仿宋" w:eastAsia="仿宋" w:cs="仿宋"/>
          <w:color w:val="000000" w:themeColor="text1"/>
          <w:sz w:val="24"/>
          <w:highlight w:val="none"/>
          <w:u w:val="single"/>
          <w14:textFill>
            <w14:solidFill>
              <w14:schemeClr w14:val="tx1"/>
            </w14:solidFill>
          </w14:textFill>
        </w:rPr>
        <w:t>前付至</w:t>
      </w:r>
      <w:r>
        <w:rPr>
          <w:rFonts w:hint="eastAsia" w:ascii="仿宋" w:hAnsi="仿宋" w:eastAsia="仿宋" w:cs="仿宋"/>
          <w:color w:val="000000" w:themeColor="text1"/>
          <w:sz w:val="24"/>
          <w:highlight w:val="none"/>
          <w:u w:val="single"/>
          <w:lang w:eastAsia="zh-CN"/>
          <w14:textFill>
            <w14:solidFill>
              <w14:schemeClr w14:val="tx1"/>
            </w14:solidFill>
          </w14:textFill>
        </w:rPr>
        <w:t>发票总金额的</w:t>
      </w:r>
      <w:r>
        <w:rPr>
          <w:rFonts w:hint="eastAsia" w:ascii="仿宋" w:hAnsi="仿宋" w:eastAsia="仿宋" w:cs="仿宋"/>
          <w:color w:val="000000" w:themeColor="text1"/>
          <w:sz w:val="24"/>
          <w:highlight w:val="none"/>
          <w:u w:val="single"/>
          <w14:textFill>
            <w14:solidFill>
              <w14:schemeClr w14:val="tx1"/>
            </w14:solidFill>
          </w14:textFill>
        </w:rPr>
        <w:t>80%，</w:t>
      </w:r>
      <w:r>
        <w:rPr>
          <w:rFonts w:hint="eastAsia" w:ascii="仿宋" w:hAnsi="仿宋" w:eastAsia="仿宋" w:cs="仿宋"/>
          <w:color w:val="000000" w:themeColor="text1"/>
          <w:sz w:val="24"/>
          <w:highlight w:val="none"/>
          <w:u w:val="single"/>
          <w:lang w:val="en-US" w:eastAsia="zh-CN"/>
          <w14:textFill>
            <w14:solidFill>
              <w14:schemeClr w14:val="tx1"/>
            </w14:solidFill>
          </w14:textFill>
        </w:rPr>
        <w:t>2027年1月份</w:t>
      </w:r>
      <w:r>
        <w:rPr>
          <w:rFonts w:hint="eastAsia" w:ascii="仿宋" w:hAnsi="仿宋" w:eastAsia="仿宋" w:cs="仿宋"/>
          <w:color w:val="000000" w:themeColor="text1"/>
          <w:sz w:val="24"/>
          <w:highlight w:val="none"/>
          <w:u w:val="single"/>
          <w14:textFill>
            <w14:solidFill>
              <w14:schemeClr w14:val="tx1"/>
            </w14:solidFill>
          </w14:textFill>
        </w:rPr>
        <w:t>前付至</w:t>
      </w:r>
      <w:r>
        <w:rPr>
          <w:rFonts w:hint="eastAsia" w:ascii="仿宋" w:hAnsi="仿宋" w:eastAsia="仿宋" w:cs="仿宋"/>
          <w:color w:val="000000" w:themeColor="text1"/>
          <w:sz w:val="24"/>
          <w:highlight w:val="none"/>
          <w:u w:val="single"/>
          <w:lang w:eastAsia="zh-CN"/>
          <w14:textFill>
            <w14:solidFill>
              <w14:schemeClr w14:val="tx1"/>
            </w14:solidFill>
          </w14:textFill>
        </w:rPr>
        <w:t>发票总金额的</w:t>
      </w:r>
      <w:r>
        <w:rPr>
          <w:rFonts w:hint="eastAsia" w:ascii="仿宋" w:hAnsi="仿宋" w:eastAsia="仿宋" w:cs="仿宋"/>
          <w:color w:val="000000" w:themeColor="text1"/>
          <w:sz w:val="24"/>
          <w:highlight w:val="none"/>
          <w:u w:val="single"/>
          <w:lang w:val="en-US" w:eastAsia="zh-CN"/>
          <w14:textFill>
            <w14:solidFill>
              <w14:schemeClr w14:val="tx1"/>
            </w14:solidFill>
          </w14:textFill>
        </w:rPr>
        <w:t>9</w:t>
      </w:r>
      <w:r>
        <w:rPr>
          <w:rFonts w:hint="eastAsia" w:ascii="仿宋" w:hAnsi="仿宋" w:eastAsia="仿宋" w:cs="仿宋"/>
          <w:color w:val="000000" w:themeColor="text1"/>
          <w:sz w:val="24"/>
          <w:highlight w:val="none"/>
          <w:u w:val="single"/>
          <w14:textFill>
            <w14:solidFill>
              <w14:schemeClr w14:val="tx1"/>
            </w14:solidFill>
          </w14:textFill>
        </w:rPr>
        <w:t>0%，</w:t>
      </w:r>
      <w:r>
        <w:rPr>
          <w:rFonts w:hint="eastAsia" w:ascii="仿宋" w:hAnsi="仿宋" w:eastAsia="仿宋" w:cs="仿宋"/>
          <w:color w:val="000000" w:themeColor="text1"/>
          <w:sz w:val="24"/>
          <w:highlight w:val="none"/>
          <w:u w:val="single"/>
          <w:lang w:val="en-US" w:eastAsia="zh-CN"/>
          <w14:textFill>
            <w14:solidFill>
              <w14:schemeClr w14:val="tx1"/>
            </w14:solidFill>
          </w14:textFill>
        </w:rPr>
        <w:t>2028年1月份</w:t>
      </w:r>
      <w:r>
        <w:rPr>
          <w:rFonts w:hint="eastAsia" w:ascii="仿宋" w:hAnsi="仿宋" w:eastAsia="仿宋" w:cs="仿宋"/>
          <w:color w:val="000000" w:themeColor="text1"/>
          <w:sz w:val="24"/>
          <w:highlight w:val="none"/>
          <w:u w:val="single"/>
          <w14:textFill>
            <w14:solidFill>
              <w14:schemeClr w14:val="tx1"/>
            </w14:solidFill>
          </w14:textFill>
        </w:rPr>
        <w:t>前付清。</w:t>
      </w:r>
      <w:r>
        <w:rPr>
          <w:rFonts w:hint="eastAsia" w:ascii="仿宋" w:hAnsi="仿宋" w:eastAsia="仿宋" w:cs="仿宋"/>
          <w:color w:val="171A1D"/>
          <w:sz w:val="24"/>
          <w:highlight w:val="none"/>
          <w:u w:val="single"/>
          <w:shd w:val="clear" w:color="auto" w:fill="FFFFFF"/>
        </w:rPr>
        <w:t>货款以对公转账方式支付至供方对公账户，支付</w:t>
      </w:r>
      <w:r>
        <w:rPr>
          <w:rFonts w:hint="eastAsia" w:ascii="仿宋" w:hAnsi="仿宋" w:eastAsia="仿宋" w:cs="仿宋"/>
          <w:color w:val="171A1D"/>
          <w:sz w:val="24"/>
          <w:highlight w:val="none"/>
          <w:u w:val="single"/>
          <w:shd w:val="clear" w:color="auto" w:fill="FFFFFF"/>
          <w:lang w:val="en-US" w:eastAsia="zh-CN"/>
        </w:rPr>
        <w:t>发票总金额50%的现汇和</w:t>
      </w:r>
      <w:r>
        <w:rPr>
          <w:rFonts w:hint="eastAsia" w:ascii="仿宋" w:hAnsi="仿宋" w:eastAsia="仿宋" w:cs="仿宋"/>
          <w:color w:val="171A1D"/>
          <w:sz w:val="24"/>
          <w:highlight w:val="none"/>
          <w:u w:val="single"/>
          <w:shd w:val="clear" w:color="auto" w:fill="FFFFFF"/>
        </w:rPr>
        <w:t>50%的6个月内电子承兑</w:t>
      </w:r>
      <w:r>
        <w:rPr>
          <w:rFonts w:hint="eastAsia" w:ascii="仿宋" w:hAnsi="仿宋" w:eastAsia="仿宋" w:cs="仿宋"/>
          <w:color w:val="171A1D"/>
          <w:sz w:val="24"/>
          <w:szCs w:val="24"/>
          <w:highlight w:val="none"/>
          <w:u w:val="single"/>
          <w:shd w:val="clear" w:color="auto" w:fill="FFFFFF"/>
          <w:lang w:eastAsia="zh-CN"/>
        </w:rPr>
        <w:t>。</w:t>
      </w:r>
    </w:p>
    <w:p w14:paraId="74EAD7B7">
      <w:pPr>
        <w:pStyle w:val="2"/>
        <w:rPr>
          <w:rFonts w:hint="eastAsia" w:ascii="仿宋" w:hAnsi="仿宋" w:eastAsia="仿宋" w:cs="仿宋"/>
          <w:b/>
          <w:sz w:val="24"/>
          <w:szCs w:val="24"/>
          <w:highlight w:val="none"/>
        </w:rPr>
      </w:pPr>
    </w:p>
    <w:p w14:paraId="5E8F82CC">
      <w:pPr>
        <w:pStyle w:val="2"/>
        <w:rPr>
          <w:rFonts w:hint="eastAsia" w:ascii="仿宋" w:hAnsi="仿宋" w:eastAsia="仿宋" w:cs="仿宋"/>
          <w:b/>
          <w:sz w:val="24"/>
          <w:szCs w:val="24"/>
          <w:highlight w:val="none"/>
        </w:rPr>
      </w:pPr>
    </w:p>
    <w:p w14:paraId="58BACB7D">
      <w:pPr>
        <w:pStyle w:val="2"/>
        <w:rPr>
          <w:rFonts w:hint="eastAsia" w:ascii="仿宋" w:hAnsi="仿宋" w:eastAsia="仿宋" w:cs="仿宋"/>
          <w:b/>
          <w:sz w:val="24"/>
          <w:szCs w:val="24"/>
          <w:highlight w:val="none"/>
        </w:rPr>
      </w:pPr>
    </w:p>
    <w:p w14:paraId="56BFE0E7">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九、评标及中标履约要求</w:t>
      </w:r>
    </w:p>
    <w:p w14:paraId="482DC5BC">
      <w:pPr>
        <w:spacing w:line="360" w:lineRule="auto"/>
        <w:rPr>
          <w:rFonts w:ascii="仿宋" w:hAnsi="仿宋" w:eastAsia="仿宋" w:cs="仿宋_GB2312"/>
          <w:b/>
          <w:sz w:val="24"/>
          <w:highlight w:val="none"/>
        </w:rPr>
      </w:pPr>
    </w:p>
    <w:p w14:paraId="62875523">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1、评标由铜冠建安公司纪委随机临时确定评委并组建的评标委员会负责。</w:t>
      </w:r>
    </w:p>
    <w:p w14:paraId="472DE4BB">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2、评标原则：评标活动遵循公平、公正、科学和择优的原则。</w:t>
      </w:r>
    </w:p>
    <w:p w14:paraId="33037BE8">
      <w:pPr>
        <w:spacing w:line="360" w:lineRule="auto"/>
        <w:ind w:firstLine="480" w:firstLineChars="200"/>
        <w:rPr>
          <w:rFonts w:hint="eastAsia" w:ascii="仿宋" w:hAnsi="仿宋" w:eastAsia="仿宋" w:cs="仿宋"/>
          <w:sz w:val="24"/>
          <w:szCs w:val="24"/>
          <w:u w:val="single"/>
          <w:lang w:eastAsia="zh-CN"/>
        </w:rPr>
      </w:pPr>
      <w:r>
        <w:rPr>
          <w:rFonts w:hint="eastAsia" w:ascii="仿宋" w:hAnsi="仿宋" w:eastAsia="仿宋" w:cs="仿宋"/>
          <w:sz w:val="24"/>
          <w:szCs w:val="24"/>
        </w:rPr>
        <w:t>3、评标：</w:t>
      </w:r>
      <w:r>
        <w:rPr>
          <w:rFonts w:hint="eastAsia" w:ascii="仿宋" w:hAnsi="仿宋" w:eastAsia="仿宋" w:cs="仿宋"/>
          <w:sz w:val="24"/>
          <w:szCs w:val="24"/>
          <w:u w:val="single"/>
        </w:rPr>
        <w:t>本次评标以价格为评标依据，采取“合理低价法”评标。即以经评委会审核，剔除偏离市场行情较大的恶意报价后的报价进行排序，其中价格最低的报价单位为预中标单位</w:t>
      </w:r>
      <w:r>
        <w:rPr>
          <w:rFonts w:hint="eastAsia" w:ascii="仿宋" w:hAnsi="仿宋" w:eastAsia="仿宋" w:cs="仿宋"/>
          <w:sz w:val="24"/>
          <w:szCs w:val="24"/>
          <w:u w:val="single"/>
          <w:lang w:eastAsia="zh-CN"/>
        </w:rPr>
        <w:t>。</w:t>
      </w:r>
    </w:p>
    <w:p w14:paraId="5F402B53">
      <w:pPr>
        <w:spacing w:line="360" w:lineRule="auto"/>
        <w:ind w:firstLine="480" w:firstLineChars="200"/>
        <w:rPr>
          <w:rFonts w:hint="eastAsia" w:ascii="仿宋" w:hAnsi="仿宋" w:eastAsia="仿宋" w:cs="仿宋"/>
          <w:sz w:val="24"/>
          <w:szCs w:val="24"/>
          <w:u w:val="single"/>
        </w:rPr>
      </w:pPr>
      <w:r>
        <w:rPr>
          <w:rFonts w:hint="eastAsia" w:ascii="仿宋" w:hAnsi="仿宋" w:eastAsia="仿宋" w:cs="仿宋"/>
          <w:sz w:val="24"/>
          <w:szCs w:val="24"/>
        </w:rPr>
        <w:t>4、中标候选人推荐：</w:t>
      </w:r>
      <w:r>
        <w:rPr>
          <w:rFonts w:hint="eastAsia" w:ascii="仿宋" w:hAnsi="仿宋" w:eastAsia="仿宋" w:cs="仿宋"/>
          <w:sz w:val="24"/>
          <w:szCs w:val="24"/>
          <w:u w:val="single"/>
        </w:rPr>
        <w:t>评标委员会依据评标结果推荐一名中标候选人。</w:t>
      </w:r>
    </w:p>
    <w:p w14:paraId="1365FBEC">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5、中标通知：</w:t>
      </w:r>
      <w:r>
        <w:rPr>
          <w:rFonts w:hint="eastAsia" w:ascii="仿宋" w:hAnsi="仿宋" w:eastAsia="仿宋" w:cs="仿宋"/>
          <w:sz w:val="24"/>
          <w:szCs w:val="24"/>
          <w:lang w:val="en-US" w:eastAsia="zh-CN"/>
        </w:rPr>
        <w:t>买方</w:t>
      </w:r>
      <w:r>
        <w:rPr>
          <w:rFonts w:hint="eastAsia" w:ascii="仿宋" w:hAnsi="仿宋" w:eastAsia="仿宋" w:cs="仿宋"/>
          <w:sz w:val="24"/>
          <w:szCs w:val="24"/>
        </w:rPr>
        <w:t>以书面形式向中标人发出中标通知书。</w:t>
      </w:r>
    </w:p>
    <w:p w14:paraId="183C1E9F">
      <w:pPr>
        <w:spacing w:line="360" w:lineRule="auto"/>
        <w:ind w:firstLine="480" w:firstLineChars="200"/>
        <w:rPr>
          <w:rFonts w:ascii="仿宋" w:hAnsi="仿宋" w:eastAsia="仿宋" w:cs="仿宋_GB2312"/>
          <w:sz w:val="24"/>
          <w:highlight w:val="none"/>
        </w:rPr>
      </w:pPr>
      <w:r>
        <w:rPr>
          <w:rFonts w:hint="eastAsia" w:ascii="仿宋" w:hAnsi="仿宋" w:eastAsia="仿宋" w:cs="仿宋"/>
          <w:sz w:val="24"/>
          <w:szCs w:val="24"/>
        </w:rPr>
        <w:t>6、</w:t>
      </w:r>
      <w:r>
        <w:rPr>
          <w:rFonts w:hint="eastAsia" w:ascii="仿宋" w:hAnsi="仿宋" w:eastAsia="仿宋" w:cs="仿宋"/>
          <w:sz w:val="24"/>
          <w:szCs w:val="24"/>
          <w:lang w:val="en-US" w:eastAsia="zh-CN"/>
        </w:rPr>
        <w:t>买方</w:t>
      </w:r>
      <w:r>
        <w:rPr>
          <w:rFonts w:hint="eastAsia" w:ascii="仿宋" w:hAnsi="仿宋" w:eastAsia="仿宋" w:cs="仿宋"/>
          <w:sz w:val="24"/>
          <w:szCs w:val="24"/>
        </w:rPr>
        <w:t>和中标人应当自中标通知书发出之日起三十日内，按照招标文件和中标人的投标文件订立书面合同，招标人和中标人不得再行订立背离本次招标实质性内容的其他协议</w:t>
      </w:r>
      <w:r>
        <w:rPr>
          <w:rFonts w:hint="eastAsia" w:ascii="仿宋" w:hAnsi="仿宋" w:eastAsia="仿宋" w:cs="仿宋_GB2312"/>
          <w:sz w:val="24"/>
          <w:highlight w:val="none"/>
        </w:rPr>
        <w:t>。</w:t>
      </w:r>
    </w:p>
    <w:p w14:paraId="4DFFEA65">
      <w:pPr>
        <w:spacing w:line="360" w:lineRule="auto"/>
        <w:rPr>
          <w:rFonts w:ascii="仿宋" w:hAnsi="仿宋" w:eastAsia="仿宋" w:cs="仿宋_GB2312"/>
          <w:b/>
          <w:sz w:val="24"/>
          <w:highlight w:val="none"/>
        </w:rPr>
      </w:pPr>
    </w:p>
    <w:p w14:paraId="1C874EB6">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十、纪律和监督</w:t>
      </w:r>
    </w:p>
    <w:p w14:paraId="759E7F93">
      <w:pPr>
        <w:spacing w:line="360" w:lineRule="auto"/>
        <w:ind w:firstLine="480" w:firstLineChars="200"/>
        <w:rPr>
          <w:rFonts w:ascii="仿宋" w:hAnsi="仿宋" w:eastAsia="仿宋" w:cs="仿宋_GB2312"/>
          <w:sz w:val="24"/>
          <w:highlight w:val="none"/>
        </w:rPr>
      </w:pPr>
    </w:p>
    <w:p w14:paraId="2AD1FC1A">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1、对招标人的纪律要求：招标人不得泄漏招标投标活动中应当保密的情况和资料，不得与投标人串通损害公司利益或者他人合法权益。</w:t>
      </w:r>
    </w:p>
    <w:p w14:paraId="05EC0AEF">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_GB2312"/>
          <w:sz w:val="24"/>
          <w:highlight w:val="none"/>
          <w:u w:val="single"/>
        </w:rPr>
        <w:t>一经确认将取消其今后参加铜冠建安公司招标的资格，列入供应商黑名单。</w:t>
      </w:r>
    </w:p>
    <w:p w14:paraId="531AFA4C">
      <w:pPr>
        <w:spacing w:line="360" w:lineRule="auto"/>
        <w:jc w:val="both"/>
        <w:rPr>
          <w:rFonts w:hint="eastAsia" w:ascii="仿宋" w:hAnsi="仿宋" w:eastAsia="仿宋" w:cs="仿宋_GB2312"/>
          <w:b/>
          <w:sz w:val="24"/>
          <w:highlight w:val="none"/>
        </w:rPr>
      </w:pPr>
    </w:p>
    <w:p w14:paraId="7D3CFA83">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十一、法定代表人授权书</w:t>
      </w:r>
    </w:p>
    <w:p w14:paraId="0C95B548">
      <w:pPr>
        <w:pStyle w:val="20"/>
        <w:spacing w:line="360" w:lineRule="auto"/>
        <w:rPr>
          <w:rFonts w:ascii="仿宋" w:hAnsi="仿宋" w:eastAsia="仿宋"/>
          <w:highlight w:val="none"/>
        </w:rPr>
      </w:pPr>
    </w:p>
    <w:p w14:paraId="509CB587">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本授权书声明：我（姓名）系（单位名称）的法定代表人，身份证号___________________，现授权委托（单位名称）（被授权委托人姓名）为本公司代表人，就（招标编号）的（招标产品）投标，以本公司名义处理一切与之有关的事务。</w:t>
      </w:r>
    </w:p>
    <w:p w14:paraId="47C6CEE1">
      <w:pPr>
        <w:spacing w:beforeLines="50" w:afterLines="50" w:line="360" w:lineRule="auto"/>
        <w:ind w:firstLine="480" w:firstLineChars="200"/>
        <w:rPr>
          <w:rFonts w:ascii="仿宋" w:hAnsi="仿宋" w:eastAsia="仿宋"/>
          <w:sz w:val="24"/>
          <w:highlight w:val="none"/>
        </w:rPr>
      </w:pPr>
    </w:p>
    <w:p w14:paraId="52B191EC">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本授权书于______年___月___日签字生效，特此声明。</w:t>
      </w:r>
    </w:p>
    <w:p w14:paraId="0949A555">
      <w:pPr>
        <w:spacing w:line="360" w:lineRule="auto"/>
        <w:ind w:firstLine="480" w:firstLineChars="200"/>
        <w:rPr>
          <w:rFonts w:ascii="仿宋" w:hAnsi="仿宋" w:eastAsia="仿宋" w:cs="仿宋_GB2312"/>
          <w:sz w:val="24"/>
          <w:highlight w:val="none"/>
        </w:rPr>
      </w:pPr>
    </w:p>
    <w:p w14:paraId="7D58C82F">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代理人情况：</w:t>
      </w:r>
    </w:p>
    <w:p w14:paraId="722C57CF">
      <w:pPr>
        <w:spacing w:line="360" w:lineRule="auto"/>
        <w:ind w:firstLine="480" w:firstLineChars="200"/>
        <w:rPr>
          <w:rFonts w:ascii="仿宋" w:hAnsi="仿宋" w:eastAsia="仿宋" w:cs="仿宋_GB2312"/>
          <w:sz w:val="24"/>
          <w:highlight w:val="none"/>
        </w:rPr>
      </w:pPr>
    </w:p>
    <w:p w14:paraId="03E0B52F">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姓名：__________________   身份证号：____________________</w:t>
      </w:r>
    </w:p>
    <w:p w14:paraId="41DBFEE9">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地址：__________________   邮    编：_____________________</w:t>
      </w:r>
    </w:p>
    <w:p w14:paraId="273ACD7D">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电话：__________________   传    真：_____________________</w:t>
      </w:r>
    </w:p>
    <w:p w14:paraId="1B83B377">
      <w:pPr>
        <w:spacing w:line="360" w:lineRule="auto"/>
        <w:ind w:firstLine="480" w:firstLineChars="200"/>
        <w:rPr>
          <w:rFonts w:ascii="仿宋" w:hAnsi="仿宋" w:eastAsia="仿宋" w:cs="仿宋_GB2312"/>
          <w:sz w:val="24"/>
          <w:highlight w:val="none"/>
        </w:rPr>
      </w:pPr>
    </w:p>
    <w:p w14:paraId="6E5F34E4">
      <w:pPr>
        <w:spacing w:line="360" w:lineRule="auto"/>
        <w:ind w:firstLine="4800" w:firstLineChars="2000"/>
        <w:rPr>
          <w:rFonts w:ascii="仿宋" w:hAnsi="仿宋" w:eastAsia="仿宋" w:cs="仿宋_GB2312"/>
          <w:sz w:val="24"/>
          <w:highlight w:val="none"/>
        </w:rPr>
      </w:pPr>
      <w:r>
        <w:rPr>
          <w:rFonts w:hint="eastAsia" w:ascii="仿宋" w:hAnsi="仿宋" w:eastAsia="仿宋" w:cs="仿宋_GB2312"/>
          <w:sz w:val="24"/>
          <w:highlight w:val="none"/>
        </w:rPr>
        <w:t>法定代表人签字：</w:t>
      </w:r>
    </w:p>
    <w:p w14:paraId="4DE808EF">
      <w:pPr>
        <w:spacing w:line="360" w:lineRule="auto"/>
        <w:ind w:firstLine="4800" w:firstLineChars="2000"/>
        <w:rPr>
          <w:rFonts w:ascii="仿宋" w:hAnsi="仿宋" w:eastAsia="仿宋" w:cs="仿宋_GB2312"/>
          <w:sz w:val="24"/>
          <w:highlight w:val="none"/>
        </w:rPr>
      </w:pPr>
      <w:r>
        <w:rPr>
          <w:rFonts w:hint="eastAsia" w:ascii="仿宋" w:hAnsi="仿宋" w:eastAsia="仿宋" w:cs="仿宋_GB2312"/>
          <w:sz w:val="24"/>
          <w:highlight w:val="none"/>
        </w:rPr>
        <w:t>单  位  盖  章：</w:t>
      </w:r>
    </w:p>
    <w:p w14:paraId="0A5B9998">
      <w:pPr>
        <w:spacing w:line="360" w:lineRule="auto"/>
        <w:ind w:firstLine="480" w:firstLineChars="200"/>
        <w:rPr>
          <w:rFonts w:ascii="仿宋" w:hAnsi="仿宋" w:eastAsia="仿宋" w:cs="仿宋_GB2312"/>
          <w:sz w:val="24"/>
          <w:highlight w:val="none"/>
        </w:rPr>
      </w:pPr>
    </w:p>
    <w:p w14:paraId="13936FA3">
      <w:pPr>
        <w:spacing w:line="360" w:lineRule="auto"/>
        <w:ind w:firstLine="6240" w:firstLineChars="2600"/>
        <w:rPr>
          <w:rFonts w:ascii="仿宋" w:hAnsi="仿宋" w:eastAsia="仿宋" w:cs="仿宋_GB2312"/>
          <w:sz w:val="24"/>
          <w:highlight w:val="none"/>
        </w:rPr>
      </w:pPr>
      <w:r>
        <w:rPr>
          <w:rFonts w:hint="eastAsia" w:ascii="仿宋" w:hAnsi="仿宋" w:eastAsia="仿宋" w:cs="仿宋_GB2312"/>
          <w:sz w:val="24"/>
          <w:highlight w:val="none"/>
        </w:rPr>
        <w:t>年  月  日</w:t>
      </w:r>
    </w:p>
    <w:p w14:paraId="2F218609">
      <w:pPr>
        <w:spacing w:line="360" w:lineRule="auto"/>
        <w:rPr>
          <w:rFonts w:ascii="仿宋" w:hAnsi="仿宋" w:eastAsia="仿宋" w:cs="仿宋_GB2312"/>
          <w:b/>
          <w:sz w:val="24"/>
          <w:highlight w:val="none"/>
        </w:rPr>
      </w:pPr>
    </w:p>
    <w:p w14:paraId="7F13CAEA">
      <w:pPr>
        <w:spacing w:line="360" w:lineRule="auto"/>
        <w:jc w:val="center"/>
        <w:rPr>
          <w:rFonts w:ascii="仿宋" w:hAnsi="仿宋" w:eastAsia="仿宋" w:cs="仿宋_GB2312"/>
          <w:b/>
          <w:sz w:val="24"/>
          <w:highlight w:val="none"/>
        </w:rPr>
      </w:pPr>
    </w:p>
    <w:p w14:paraId="1C8FEFFA">
      <w:pPr>
        <w:spacing w:line="360" w:lineRule="auto"/>
        <w:rPr>
          <w:rFonts w:ascii="仿宋" w:hAnsi="仿宋" w:eastAsia="仿宋" w:cs="仿宋_GB2312"/>
          <w:b/>
          <w:sz w:val="24"/>
          <w:highlight w:val="none"/>
        </w:rPr>
      </w:pPr>
    </w:p>
    <w:p w14:paraId="3C5CC312">
      <w:pPr>
        <w:spacing w:line="360" w:lineRule="auto"/>
        <w:jc w:val="center"/>
        <w:rPr>
          <w:rFonts w:ascii="仿宋" w:hAnsi="仿宋" w:eastAsia="仿宋" w:cs="仿宋_GB2312"/>
          <w:b/>
          <w:sz w:val="24"/>
          <w:highlight w:val="none"/>
        </w:rPr>
      </w:pPr>
    </w:p>
    <w:p w14:paraId="73190574">
      <w:pPr>
        <w:spacing w:line="360" w:lineRule="auto"/>
        <w:jc w:val="center"/>
        <w:rPr>
          <w:rFonts w:ascii="仿宋" w:hAnsi="仿宋" w:eastAsia="仿宋" w:cs="仿宋_GB2312"/>
          <w:b/>
          <w:sz w:val="24"/>
          <w:highlight w:val="none"/>
        </w:rPr>
      </w:pPr>
    </w:p>
    <w:p w14:paraId="471B0330">
      <w:pPr>
        <w:spacing w:line="360" w:lineRule="auto"/>
        <w:jc w:val="center"/>
        <w:rPr>
          <w:rFonts w:ascii="仿宋" w:hAnsi="仿宋" w:eastAsia="仿宋" w:cs="仿宋_GB2312"/>
          <w:b/>
          <w:sz w:val="24"/>
          <w:highlight w:val="none"/>
        </w:rPr>
      </w:pPr>
    </w:p>
    <w:p w14:paraId="2E651722">
      <w:pPr>
        <w:spacing w:line="360" w:lineRule="auto"/>
        <w:jc w:val="center"/>
        <w:rPr>
          <w:rFonts w:ascii="仿宋" w:hAnsi="仿宋" w:eastAsia="仿宋" w:cs="仿宋_GB2312"/>
          <w:b/>
          <w:sz w:val="24"/>
          <w:highlight w:val="none"/>
        </w:rPr>
      </w:pPr>
    </w:p>
    <w:p w14:paraId="317DC210">
      <w:pPr>
        <w:spacing w:line="360" w:lineRule="auto"/>
        <w:jc w:val="center"/>
        <w:rPr>
          <w:rFonts w:ascii="仿宋" w:hAnsi="仿宋" w:eastAsia="仿宋" w:cs="仿宋_GB2312"/>
          <w:b/>
          <w:sz w:val="24"/>
          <w:highlight w:val="none"/>
        </w:rPr>
      </w:pPr>
    </w:p>
    <w:p w14:paraId="3F5EE4A0">
      <w:pPr>
        <w:spacing w:line="360" w:lineRule="auto"/>
        <w:jc w:val="center"/>
        <w:rPr>
          <w:rFonts w:ascii="仿宋" w:hAnsi="仿宋" w:eastAsia="仿宋" w:cs="仿宋_GB2312"/>
          <w:b/>
          <w:sz w:val="24"/>
          <w:highlight w:val="none"/>
        </w:rPr>
      </w:pPr>
    </w:p>
    <w:p w14:paraId="7A614C64">
      <w:pPr>
        <w:spacing w:line="360" w:lineRule="auto"/>
        <w:jc w:val="center"/>
        <w:rPr>
          <w:rFonts w:ascii="仿宋" w:hAnsi="仿宋" w:eastAsia="仿宋" w:cs="仿宋_GB2312"/>
          <w:b/>
          <w:sz w:val="24"/>
          <w:highlight w:val="none"/>
        </w:rPr>
      </w:pPr>
    </w:p>
    <w:p w14:paraId="61890637">
      <w:pPr>
        <w:spacing w:line="360" w:lineRule="auto"/>
        <w:jc w:val="center"/>
        <w:rPr>
          <w:rFonts w:ascii="仿宋" w:hAnsi="仿宋" w:eastAsia="仿宋" w:cs="仿宋_GB2312"/>
          <w:b/>
          <w:sz w:val="24"/>
          <w:highlight w:val="none"/>
        </w:rPr>
      </w:pPr>
    </w:p>
    <w:p w14:paraId="10A4B229">
      <w:pPr>
        <w:spacing w:line="360" w:lineRule="auto"/>
        <w:jc w:val="center"/>
        <w:rPr>
          <w:rFonts w:ascii="仿宋" w:hAnsi="仿宋" w:eastAsia="仿宋" w:cs="仿宋_GB2312"/>
          <w:b/>
          <w:bCs/>
          <w:sz w:val="24"/>
          <w:highlight w:val="none"/>
        </w:rPr>
      </w:pPr>
      <w:r>
        <w:rPr>
          <w:rFonts w:hint="eastAsia" w:ascii="仿宋" w:hAnsi="仿宋" w:eastAsia="仿宋" w:cs="仿宋_GB2312"/>
          <w:b/>
          <w:sz w:val="24"/>
          <w:highlight w:val="none"/>
        </w:rPr>
        <w:t>十二、投标廉洁</w:t>
      </w:r>
      <w:r>
        <w:rPr>
          <w:rFonts w:hint="eastAsia" w:ascii="仿宋" w:hAnsi="仿宋" w:eastAsia="仿宋" w:cs="仿宋_GB2312"/>
          <w:b/>
          <w:bCs/>
          <w:sz w:val="24"/>
          <w:highlight w:val="none"/>
        </w:rPr>
        <w:t>承诺书</w:t>
      </w:r>
    </w:p>
    <w:p w14:paraId="789A50C1">
      <w:pPr>
        <w:spacing w:line="360" w:lineRule="auto"/>
        <w:ind w:firstLine="480" w:firstLineChars="200"/>
        <w:rPr>
          <w:rFonts w:ascii="仿宋" w:hAnsi="仿宋" w:eastAsia="仿宋" w:cs="仿宋_GB2312"/>
          <w:sz w:val="24"/>
          <w:highlight w:val="none"/>
        </w:rPr>
      </w:pPr>
    </w:p>
    <w:p w14:paraId="6793477A">
      <w:pPr>
        <w:spacing w:line="360" w:lineRule="auto"/>
        <w:ind w:firstLine="480" w:firstLineChars="200"/>
        <w:rPr>
          <w:rFonts w:ascii="仿宋" w:hAnsi="仿宋" w:eastAsia="仿宋" w:cs="仿宋_GB2312"/>
          <w:b/>
          <w:bCs/>
          <w:sz w:val="24"/>
          <w:highlight w:val="none"/>
        </w:rPr>
      </w:pPr>
      <w:r>
        <w:rPr>
          <w:rFonts w:hint="eastAsia" w:ascii="仿宋" w:hAnsi="仿宋" w:eastAsia="仿宋" w:cs="仿宋_GB2312"/>
          <w:sz w:val="24"/>
          <w:highlight w:val="none"/>
        </w:rPr>
        <w:t>我单位于年月日参与</w:t>
      </w:r>
      <w:r>
        <w:rPr>
          <w:rFonts w:hint="eastAsia" w:ascii="仿宋" w:hAnsi="仿宋" w:eastAsia="仿宋" w:cs="仿宋_GB2312"/>
          <w:sz w:val="24"/>
          <w:highlight w:val="none"/>
          <w:u w:val="single"/>
        </w:rPr>
        <w:t>（招标编号）</w:t>
      </w:r>
      <w:r>
        <w:rPr>
          <w:rFonts w:hint="eastAsia" w:ascii="仿宋" w:hAnsi="仿宋" w:eastAsia="仿宋" w:cs="仿宋_GB2312"/>
          <w:sz w:val="24"/>
          <w:highlight w:val="none"/>
        </w:rPr>
        <w:t>的</w:t>
      </w:r>
      <w:r>
        <w:rPr>
          <w:rFonts w:hint="eastAsia" w:ascii="仿宋" w:hAnsi="仿宋" w:eastAsia="仿宋" w:cs="仿宋_GB2312"/>
          <w:sz w:val="24"/>
          <w:highlight w:val="none"/>
          <w:u w:val="single"/>
        </w:rPr>
        <w:t>（招标产品）</w:t>
      </w:r>
      <w:r>
        <w:rPr>
          <w:rFonts w:hint="eastAsia" w:ascii="仿宋" w:hAnsi="仿宋" w:eastAsia="仿宋" w:cs="仿宋_GB2312"/>
          <w:sz w:val="24"/>
          <w:highlight w:val="none"/>
        </w:rPr>
        <w:t>投标，为加强招投标管理和廉政建设，防止发生各种谋取不正当利益的违法违纪行为、规范双方的各项活动，保护当事人及所属公司的合法权益，供方承诺：</w:t>
      </w:r>
    </w:p>
    <w:p w14:paraId="6982E46E">
      <w:pPr>
        <w:widowControl/>
        <w:numPr>
          <w:ilvl w:val="0"/>
          <w:numId w:val="3"/>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承诺不相互串通投标或者与招标人串通投标；</w:t>
      </w:r>
    </w:p>
    <w:p w14:paraId="4D7DF91D">
      <w:pPr>
        <w:widowControl/>
        <w:numPr>
          <w:ilvl w:val="0"/>
          <w:numId w:val="3"/>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不向招标人或者评标委员会成员行贿谋取中标；</w:t>
      </w:r>
    </w:p>
    <w:p w14:paraId="19DC189F">
      <w:pPr>
        <w:widowControl/>
        <w:numPr>
          <w:ilvl w:val="0"/>
          <w:numId w:val="3"/>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不以他人名义投标或者以其他方式弄虚作假骗取中标；</w:t>
      </w:r>
    </w:p>
    <w:p w14:paraId="186A3276">
      <w:pPr>
        <w:widowControl/>
        <w:numPr>
          <w:ilvl w:val="0"/>
          <w:numId w:val="3"/>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承诺不向招标人及有关人员提供任何形式的财、物及请吃消费；</w:t>
      </w:r>
    </w:p>
    <w:p w14:paraId="4C61937C">
      <w:pPr>
        <w:widowControl/>
        <w:numPr>
          <w:ilvl w:val="0"/>
          <w:numId w:val="3"/>
        </w:numPr>
        <w:spacing w:line="360" w:lineRule="auto"/>
        <w:ind w:firstLine="480" w:firstLineChars="200"/>
        <w:jc w:val="left"/>
        <w:rPr>
          <w:rFonts w:ascii="仿宋" w:hAnsi="仿宋" w:eastAsia="仿宋" w:cs="仿宋_GB2312"/>
          <w:color w:val="000000"/>
          <w:sz w:val="24"/>
          <w:highlight w:val="none"/>
        </w:rPr>
      </w:pPr>
      <w:r>
        <w:rPr>
          <w:rFonts w:hint="eastAsia" w:ascii="仿宋" w:hAnsi="仿宋" w:eastAsia="仿宋" w:cs="仿宋_GB2312"/>
          <w:sz w:val="24"/>
          <w:highlight w:val="none"/>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14:paraId="6BB8F5AF">
      <w:pPr>
        <w:spacing w:line="360" w:lineRule="auto"/>
        <w:ind w:firstLine="480" w:firstLineChars="200"/>
        <w:rPr>
          <w:rFonts w:ascii="仿宋" w:hAnsi="仿宋" w:eastAsia="仿宋" w:cs="仿宋_GB2312"/>
          <w:color w:val="000000"/>
          <w:sz w:val="24"/>
          <w:highlight w:val="none"/>
          <w:u w:val="single"/>
        </w:rPr>
      </w:pPr>
    </w:p>
    <w:p w14:paraId="1C6372AD">
      <w:pPr>
        <w:spacing w:line="360" w:lineRule="auto"/>
        <w:ind w:firstLine="4560" w:firstLineChars="1900"/>
        <w:rPr>
          <w:rFonts w:ascii="仿宋" w:hAnsi="仿宋" w:eastAsia="仿宋" w:cs="仿宋_GB2312"/>
          <w:sz w:val="24"/>
          <w:highlight w:val="none"/>
        </w:rPr>
      </w:pPr>
    </w:p>
    <w:p w14:paraId="7266402B">
      <w:pPr>
        <w:spacing w:line="360" w:lineRule="auto"/>
        <w:ind w:firstLine="4578" w:firstLineChars="2100"/>
        <w:rPr>
          <w:rFonts w:ascii="仿宋" w:hAnsi="仿宋" w:eastAsia="仿宋" w:cs="仿宋_GB2312"/>
          <w:sz w:val="24"/>
          <w:highlight w:val="none"/>
        </w:rPr>
      </w:pPr>
      <w:r>
        <w:rPr>
          <w:rFonts w:hint="eastAsia" w:ascii="仿宋" w:hAnsi="仿宋" w:eastAsia="仿宋" w:cs="仿宋_GB2312"/>
          <w:spacing w:val="-11"/>
          <w:sz w:val="24"/>
          <w:highlight w:val="none"/>
        </w:rPr>
        <w:t xml:space="preserve">承诺方签字 </w:t>
      </w:r>
      <w:r>
        <w:rPr>
          <w:rFonts w:hint="eastAsia" w:ascii="仿宋" w:hAnsi="仿宋" w:eastAsia="仿宋" w:cs="仿宋_GB2312"/>
          <w:b/>
          <w:bCs/>
          <w:sz w:val="24"/>
          <w:highlight w:val="none"/>
        </w:rPr>
        <w:t>:</w:t>
      </w:r>
    </w:p>
    <w:p w14:paraId="7F8FDC89">
      <w:pPr>
        <w:spacing w:line="360" w:lineRule="auto"/>
        <w:ind w:firstLine="4578" w:firstLineChars="2100"/>
        <w:rPr>
          <w:rFonts w:ascii="仿宋" w:hAnsi="仿宋" w:eastAsia="仿宋" w:cs="仿宋_GB2312"/>
          <w:sz w:val="24"/>
          <w:highlight w:val="none"/>
        </w:rPr>
      </w:pPr>
      <w:r>
        <w:rPr>
          <w:rFonts w:hint="eastAsia" w:ascii="仿宋" w:hAnsi="仿宋" w:eastAsia="仿宋" w:cs="仿宋_GB2312"/>
          <w:spacing w:val="-11"/>
          <w:sz w:val="24"/>
          <w:highlight w:val="none"/>
        </w:rPr>
        <w:t>单 位 盖 章</w:t>
      </w:r>
      <w:r>
        <w:rPr>
          <w:rFonts w:hint="eastAsia" w:ascii="仿宋" w:hAnsi="仿宋" w:eastAsia="仿宋" w:cs="仿宋_GB2312"/>
          <w:sz w:val="24"/>
          <w:highlight w:val="none"/>
        </w:rPr>
        <w:t xml:space="preserve">：                    </w:t>
      </w:r>
    </w:p>
    <w:p w14:paraId="4B26C5E4">
      <w:pPr>
        <w:spacing w:line="360" w:lineRule="auto"/>
        <w:ind w:firstLine="1744" w:firstLineChars="800"/>
        <w:jc w:val="center"/>
        <w:rPr>
          <w:rFonts w:ascii="仿宋" w:hAnsi="仿宋" w:eastAsia="仿宋" w:cs="仿宋_GB2312"/>
          <w:sz w:val="28"/>
          <w:szCs w:val="28"/>
          <w:highlight w:val="none"/>
        </w:rPr>
      </w:pPr>
      <w:r>
        <w:rPr>
          <w:rFonts w:hint="eastAsia" w:ascii="仿宋" w:hAnsi="仿宋" w:eastAsia="仿宋" w:cs="仿宋_GB2312"/>
          <w:spacing w:val="-11"/>
          <w:sz w:val="24"/>
          <w:highlight w:val="none"/>
        </w:rPr>
        <w:t xml:space="preserve">日  </w:t>
      </w:r>
      <w:r>
        <w:rPr>
          <w:rFonts w:hint="eastAsia" w:ascii="仿宋" w:hAnsi="仿宋" w:eastAsia="仿宋" w:cs="仿宋_GB2312"/>
          <w:spacing w:val="-11"/>
          <w:sz w:val="28"/>
          <w:szCs w:val="28"/>
          <w:highlight w:val="none"/>
        </w:rPr>
        <w:t xml:space="preserve">     期：</w:t>
      </w:r>
    </w:p>
    <w:p w14:paraId="5830EB27">
      <w:pPr>
        <w:spacing w:line="560" w:lineRule="exact"/>
        <w:rPr>
          <w:rFonts w:ascii="仿宋" w:hAnsi="仿宋" w:eastAsia="仿宋" w:cs="仿宋_GB2312"/>
          <w:b/>
          <w:sz w:val="36"/>
          <w:szCs w:val="36"/>
          <w:highlight w:val="none"/>
        </w:rPr>
        <w:sectPr>
          <w:headerReference r:id="rId6" w:type="default"/>
          <w:footerReference r:id="rId7" w:type="default"/>
          <w:pgSz w:w="11906" w:h="16838"/>
          <w:pgMar w:top="1417" w:right="1417" w:bottom="1417" w:left="1417" w:header="851" w:footer="273" w:gutter="284"/>
          <w:cols w:space="720" w:num="1"/>
          <w:docGrid w:type="lines" w:linePitch="312" w:charSpace="0"/>
        </w:sectPr>
      </w:pPr>
    </w:p>
    <w:p w14:paraId="2B99F10F">
      <w:pPr>
        <w:spacing w:line="400" w:lineRule="exact"/>
        <w:jc w:val="center"/>
        <w:rPr>
          <w:rFonts w:ascii="仿宋" w:hAnsi="仿宋" w:eastAsia="仿宋"/>
          <w:b/>
          <w:sz w:val="28"/>
          <w:szCs w:val="28"/>
          <w:highlight w:val="none"/>
        </w:rPr>
      </w:pPr>
      <w:r>
        <w:rPr>
          <w:rFonts w:hint="eastAsia" w:ascii="仿宋" w:hAnsi="仿宋" w:eastAsia="仿宋" w:cs="仿宋_GB2312"/>
          <w:b/>
          <w:sz w:val="36"/>
          <w:szCs w:val="36"/>
          <w:highlight w:val="none"/>
        </w:rPr>
        <w:t>十三、报价单</w:t>
      </w:r>
    </w:p>
    <w:p w14:paraId="02E8C181">
      <w:pPr>
        <w:spacing w:line="400" w:lineRule="exact"/>
        <w:rPr>
          <w:rFonts w:ascii="仿宋" w:hAnsi="仿宋" w:eastAsia="仿宋" w:cs="仿宋_GB2312"/>
          <w:b/>
          <w:sz w:val="28"/>
          <w:szCs w:val="28"/>
          <w:highlight w:val="none"/>
        </w:rPr>
      </w:pPr>
      <w:r>
        <w:rPr>
          <w:rFonts w:hint="eastAsia" w:ascii="仿宋" w:hAnsi="仿宋" w:eastAsia="仿宋"/>
          <w:b/>
          <w:sz w:val="28"/>
          <w:szCs w:val="28"/>
          <w:highlight w:val="none"/>
        </w:rPr>
        <w:t>报价单（TGJA-WZ-202</w:t>
      </w:r>
      <w:r>
        <w:rPr>
          <w:rFonts w:hint="eastAsia" w:ascii="仿宋" w:hAnsi="仿宋" w:eastAsia="仿宋"/>
          <w:b/>
          <w:sz w:val="28"/>
          <w:szCs w:val="28"/>
          <w:highlight w:val="none"/>
          <w:lang w:val="en-US" w:eastAsia="zh-CN"/>
        </w:rPr>
        <w:t>5012</w:t>
      </w:r>
      <w:r>
        <w:rPr>
          <w:rFonts w:hint="eastAsia" w:ascii="仿宋" w:hAnsi="仿宋" w:eastAsia="仿宋"/>
          <w:b/>
          <w:sz w:val="28"/>
          <w:szCs w:val="28"/>
          <w:highlight w:val="none"/>
        </w:rPr>
        <w:t>）：</w:t>
      </w:r>
    </w:p>
    <w:tbl>
      <w:tblPr>
        <w:tblStyle w:val="47"/>
        <w:tblW w:w="1562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3"/>
        <w:gridCol w:w="1576"/>
        <w:gridCol w:w="1405"/>
        <w:gridCol w:w="913"/>
        <w:gridCol w:w="1117"/>
        <w:gridCol w:w="1224"/>
        <w:gridCol w:w="2205"/>
        <w:gridCol w:w="1470"/>
        <w:gridCol w:w="990"/>
        <w:gridCol w:w="885"/>
        <w:gridCol w:w="855"/>
        <w:gridCol w:w="2460"/>
      </w:tblGrid>
      <w:tr w14:paraId="7D7E0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523" w:type="dxa"/>
            <w:vAlign w:val="center"/>
          </w:tcPr>
          <w:p w14:paraId="6308FB6A">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1576" w:type="dxa"/>
            <w:vAlign w:val="center"/>
          </w:tcPr>
          <w:p w14:paraId="24BEF297">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物料名称</w:t>
            </w:r>
          </w:p>
        </w:tc>
        <w:tc>
          <w:tcPr>
            <w:tcW w:w="1405" w:type="dxa"/>
            <w:vAlign w:val="center"/>
          </w:tcPr>
          <w:p w14:paraId="7696F1C7">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型号规格</w:t>
            </w:r>
          </w:p>
        </w:tc>
        <w:tc>
          <w:tcPr>
            <w:tcW w:w="913" w:type="dxa"/>
            <w:vAlign w:val="center"/>
          </w:tcPr>
          <w:p w14:paraId="161164B2">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w:t>
            </w:r>
          </w:p>
        </w:tc>
        <w:tc>
          <w:tcPr>
            <w:tcW w:w="1117" w:type="dxa"/>
            <w:vAlign w:val="center"/>
          </w:tcPr>
          <w:p w14:paraId="52CD6367">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数量</w:t>
            </w:r>
          </w:p>
        </w:tc>
        <w:tc>
          <w:tcPr>
            <w:tcW w:w="1224" w:type="dxa"/>
            <w:vAlign w:val="center"/>
          </w:tcPr>
          <w:p w14:paraId="7F462134">
            <w:pPr>
              <w:spacing w:line="400" w:lineRule="exact"/>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基准价（元/吨）</w:t>
            </w:r>
          </w:p>
        </w:tc>
        <w:tc>
          <w:tcPr>
            <w:tcW w:w="2205" w:type="dxa"/>
            <w:vAlign w:val="center"/>
          </w:tcPr>
          <w:p w14:paraId="27274B04">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上浮值（+）或下浮值（-）（元/吨）*</w:t>
            </w:r>
          </w:p>
        </w:tc>
        <w:tc>
          <w:tcPr>
            <w:tcW w:w="1470" w:type="dxa"/>
            <w:vAlign w:val="center"/>
          </w:tcPr>
          <w:p w14:paraId="3C97775B">
            <w:pPr>
              <w:spacing w:line="400" w:lineRule="exact"/>
              <w:jc w:val="center"/>
              <w:rPr>
                <w:rFonts w:hint="default" w:ascii="仿宋" w:hAnsi="仿宋" w:eastAsia="仿宋" w:cs="仿宋"/>
                <w:color w:val="auto"/>
                <w:sz w:val="24"/>
                <w:szCs w:val="24"/>
                <w:highlight w:val="none"/>
                <w:lang w:val="en-US" w:eastAsia="zh-CN"/>
              </w:rPr>
            </w:pPr>
            <w:bookmarkStart w:id="2" w:name="OLE_LINK8"/>
            <w:r>
              <w:rPr>
                <w:rFonts w:hint="eastAsia" w:ascii="仿宋" w:hAnsi="仿宋" w:eastAsia="仿宋" w:cs="仿宋"/>
                <w:color w:val="auto"/>
                <w:sz w:val="24"/>
                <w:szCs w:val="24"/>
                <w:highlight w:val="none"/>
                <w:lang w:val="en-US" w:eastAsia="zh-CN"/>
              </w:rPr>
              <w:t>含税含运费单价*</w:t>
            </w:r>
            <w:bookmarkEnd w:id="2"/>
          </w:p>
        </w:tc>
        <w:tc>
          <w:tcPr>
            <w:tcW w:w="990" w:type="dxa"/>
            <w:vAlign w:val="center"/>
          </w:tcPr>
          <w:p w14:paraId="4F248920">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税率*</w:t>
            </w:r>
          </w:p>
        </w:tc>
        <w:tc>
          <w:tcPr>
            <w:tcW w:w="1740" w:type="dxa"/>
            <w:gridSpan w:val="2"/>
            <w:vAlign w:val="center"/>
          </w:tcPr>
          <w:p w14:paraId="33D49DA6">
            <w:pPr>
              <w:spacing w:line="400" w:lineRule="exact"/>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是否为增值税专用发票*</w:t>
            </w:r>
          </w:p>
        </w:tc>
        <w:tc>
          <w:tcPr>
            <w:tcW w:w="2460" w:type="dxa"/>
            <w:vAlign w:val="center"/>
          </w:tcPr>
          <w:p w14:paraId="4FAB8395">
            <w:pPr>
              <w:spacing w:line="400" w:lineRule="exact"/>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备注</w:t>
            </w:r>
          </w:p>
        </w:tc>
      </w:tr>
      <w:tr w14:paraId="69997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523" w:type="dxa"/>
            <w:vAlign w:val="center"/>
          </w:tcPr>
          <w:p w14:paraId="2F81CA9D">
            <w:pPr>
              <w:keepNext w:val="0"/>
              <w:keepLines w:val="0"/>
              <w:widowControl/>
              <w:suppressLineNumbers w:val="0"/>
              <w:jc w:val="center"/>
              <w:textAlignment w:val="center"/>
              <w:rPr>
                <w:rFonts w:hint="eastAsia" w:ascii="仿宋" w:hAnsi="仿宋" w:eastAsia="仿宋" w:cs="仿宋"/>
                <w:color w:val="auto"/>
                <w:sz w:val="24"/>
                <w:szCs w:val="24"/>
                <w:highlight w:val="none"/>
              </w:rPr>
            </w:pPr>
            <w:bookmarkStart w:id="3" w:name="OLE_LINK3" w:colFirst="9" w:colLast="9"/>
            <w:r>
              <w:rPr>
                <w:rFonts w:hint="eastAsia" w:ascii="仿宋" w:hAnsi="仿宋" w:eastAsia="仿宋" w:cs="仿宋"/>
                <w:i w:val="0"/>
                <w:color w:val="000000"/>
                <w:kern w:val="0"/>
                <w:sz w:val="24"/>
                <w:szCs w:val="24"/>
                <w:u w:val="none"/>
                <w:lang w:val="en-US" w:eastAsia="zh-CN" w:bidi="ar"/>
              </w:rPr>
              <w:t>1</w:t>
            </w:r>
          </w:p>
        </w:tc>
        <w:tc>
          <w:tcPr>
            <w:tcW w:w="1576" w:type="dxa"/>
            <w:vAlign w:val="center"/>
          </w:tcPr>
          <w:p w14:paraId="6CC81F4E">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袋装水泥</w:t>
            </w:r>
          </w:p>
        </w:tc>
        <w:tc>
          <w:tcPr>
            <w:tcW w:w="1405" w:type="dxa"/>
            <w:vAlign w:val="center"/>
          </w:tcPr>
          <w:p w14:paraId="0616B61D">
            <w:pPr>
              <w:keepNext w:val="0"/>
              <w:keepLines w:val="0"/>
              <w:widowControl/>
              <w:suppressLineNumbers w:val="0"/>
              <w:jc w:val="center"/>
              <w:textAlignment w:val="center"/>
              <w:rPr>
                <w:rFonts w:hint="default" w:ascii="仿宋" w:hAnsi="仿宋" w:eastAsia="仿宋" w:cs="仿宋"/>
                <w:color w:val="auto"/>
                <w:sz w:val="24"/>
                <w:szCs w:val="24"/>
                <w:highlight w:val="none"/>
                <w:lang w:val="en-US"/>
              </w:rPr>
            </w:pPr>
            <w:r>
              <w:rPr>
                <w:rFonts w:hint="eastAsia" w:ascii="仿宋" w:hAnsi="仿宋" w:eastAsia="仿宋" w:cs="仿宋"/>
                <w:i w:val="0"/>
                <w:color w:val="000000"/>
                <w:kern w:val="0"/>
                <w:sz w:val="24"/>
                <w:szCs w:val="24"/>
                <w:u w:val="none"/>
                <w:lang w:val="en-US" w:eastAsia="zh-CN" w:bidi="ar"/>
              </w:rPr>
              <w:t>M32.5</w:t>
            </w:r>
          </w:p>
        </w:tc>
        <w:tc>
          <w:tcPr>
            <w:tcW w:w="913" w:type="dxa"/>
            <w:vAlign w:val="center"/>
          </w:tcPr>
          <w:p w14:paraId="423AA9B8">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Style w:val="154"/>
                <w:rFonts w:hint="eastAsia" w:ascii="仿宋" w:hAnsi="仿宋" w:eastAsia="仿宋" w:cs="仿宋"/>
                <w:sz w:val="24"/>
                <w:szCs w:val="24"/>
                <w:lang w:val="en-US" w:eastAsia="zh-CN" w:bidi="ar"/>
              </w:rPr>
              <w:t>吨</w:t>
            </w:r>
          </w:p>
        </w:tc>
        <w:tc>
          <w:tcPr>
            <w:tcW w:w="1117" w:type="dxa"/>
            <w:vAlign w:val="center"/>
          </w:tcPr>
          <w:p w14:paraId="30F0ADCF">
            <w:pPr>
              <w:keepNext w:val="0"/>
              <w:keepLines w:val="0"/>
              <w:widowControl/>
              <w:suppressLineNumbers w:val="0"/>
              <w:jc w:val="center"/>
              <w:textAlignment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300</w:t>
            </w:r>
          </w:p>
        </w:tc>
        <w:tc>
          <w:tcPr>
            <w:tcW w:w="1224" w:type="dxa"/>
            <w:vAlign w:val="center"/>
          </w:tcPr>
          <w:p w14:paraId="1FEEA1AB">
            <w:pPr>
              <w:keepNext w:val="0"/>
              <w:keepLines w:val="0"/>
              <w:widowControl/>
              <w:suppressLineNumbers w:val="0"/>
              <w:jc w:val="center"/>
              <w:textAlignment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300</w:t>
            </w:r>
          </w:p>
        </w:tc>
        <w:tc>
          <w:tcPr>
            <w:tcW w:w="2205" w:type="dxa"/>
            <w:vAlign w:val="center"/>
          </w:tcPr>
          <w:p w14:paraId="6A89C849">
            <w:pPr>
              <w:keepNext w:val="0"/>
              <w:keepLines w:val="0"/>
              <w:widowControl/>
              <w:suppressLineNumbers w:val="0"/>
              <w:jc w:val="center"/>
              <w:textAlignment w:val="center"/>
              <w:rPr>
                <w:rFonts w:hint="eastAsia" w:ascii="仿宋" w:hAnsi="仿宋" w:eastAsia="仿宋" w:cs="仿宋"/>
                <w:color w:val="auto"/>
                <w:sz w:val="24"/>
                <w:szCs w:val="24"/>
                <w:highlight w:val="none"/>
              </w:rPr>
            </w:pPr>
          </w:p>
        </w:tc>
        <w:tc>
          <w:tcPr>
            <w:tcW w:w="1470" w:type="dxa"/>
            <w:vAlign w:val="center"/>
          </w:tcPr>
          <w:p w14:paraId="1084A379">
            <w:pPr>
              <w:spacing w:line="400" w:lineRule="exact"/>
              <w:jc w:val="center"/>
              <w:rPr>
                <w:rFonts w:hint="eastAsia" w:ascii="仿宋" w:hAnsi="仿宋" w:eastAsia="仿宋" w:cs="仿宋"/>
                <w:color w:val="auto"/>
                <w:sz w:val="24"/>
                <w:szCs w:val="24"/>
                <w:highlight w:val="none"/>
              </w:rPr>
            </w:pPr>
          </w:p>
        </w:tc>
        <w:tc>
          <w:tcPr>
            <w:tcW w:w="990" w:type="dxa"/>
            <w:vAlign w:val="center"/>
          </w:tcPr>
          <w:p w14:paraId="44EE8E81">
            <w:pPr>
              <w:spacing w:line="400" w:lineRule="exact"/>
              <w:jc w:val="center"/>
              <w:rPr>
                <w:rFonts w:hint="eastAsia" w:ascii="仿宋" w:hAnsi="仿宋" w:eastAsia="仿宋" w:cs="仿宋"/>
                <w:color w:val="auto"/>
                <w:sz w:val="24"/>
                <w:szCs w:val="24"/>
                <w:highlight w:val="none"/>
                <w:lang w:val="en-US" w:eastAsia="zh-CN"/>
              </w:rPr>
            </w:pPr>
          </w:p>
        </w:tc>
        <w:tc>
          <w:tcPr>
            <w:tcW w:w="1740" w:type="dxa"/>
            <w:gridSpan w:val="2"/>
            <w:vAlign w:val="center"/>
          </w:tcPr>
          <w:p w14:paraId="24C33B20">
            <w:pPr>
              <w:spacing w:line="400" w:lineRule="exact"/>
              <w:jc w:val="center"/>
              <w:rPr>
                <w:rFonts w:hint="eastAsia" w:ascii="仿宋" w:hAnsi="仿宋" w:eastAsia="仿宋" w:cs="仿宋"/>
                <w:color w:val="000000" w:themeColor="text1"/>
                <w:sz w:val="24"/>
                <w:szCs w:val="24"/>
                <w:highlight w:val="none"/>
                <w:lang w:eastAsia="zh-CN"/>
                <w14:textFill>
                  <w14:solidFill>
                    <w14:schemeClr w14:val="tx1"/>
                  </w14:solidFill>
                </w14:textFill>
              </w:rPr>
            </w:pPr>
          </w:p>
        </w:tc>
        <w:tc>
          <w:tcPr>
            <w:tcW w:w="2460" w:type="dxa"/>
            <w:vAlign w:val="center"/>
          </w:tcPr>
          <w:p w14:paraId="4AD5AB16">
            <w:pPr>
              <w:keepNext w:val="0"/>
              <w:keepLines w:val="0"/>
              <w:widowControl/>
              <w:suppressLineNumbers w:val="0"/>
              <w:jc w:val="center"/>
              <w:textAlignment w:val="center"/>
              <w:rPr>
                <w:rFonts w:hint="default" w:ascii="仿宋" w:hAnsi="仿宋" w:eastAsia="仿宋" w:cs="仿宋"/>
                <w:color w:val="000000" w:themeColor="text1"/>
                <w:sz w:val="24"/>
                <w:szCs w:val="24"/>
                <w:highlight w:val="none"/>
                <w:lang w:val="en-US" w:eastAsia="zh-CN"/>
                <w14:textFill>
                  <w14:solidFill>
                    <w14:schemeClr w14:val="tx1"/>
                  </w14:solidFill>
                </w14:textFill>
              </w:rPr>
            </w:pPr>
            <w:bookmarkStart w:id="4" w:name="OLE_LINK2"/>
            <w:r>
              <w:rPr>
                <w:rFonts w:hint="eastAsia" w:ascii="仿宋" w:hAnsi="仿宋" w:eastAsia="仿宋" w:cs="仿宋"/>
                <w:color w:val="000000" w:themeColor="text1"/>
                <w:sz w:val="24"/>
                <w:szCs w:val="24"/>
                <w:highlight w:val="none"/>
                <w:lang w:val="en-US" w:eastAsia="zh-CN"/>
                <w14:textFill>
                  <w14:solidFill>
                    <w14:schemeClr w14:val="tx1"/>
                  </w14:solidFill>
                </w14:textFill>
              </w:rPr>
              <w:t>5吨起送；根据现场需要分批次供货</w:t>
            </w:r>
            <w:bookmarkEnd w:id="4"/>
          </w:p>
        </w:tc>
      </w:tr>
      <w:bookmarkEnd w:id="3"/>
      <w:tr w14:paraId="09342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523" w:type="dxa"/>
            <w:vAlign w:val="center"/>
          </w:tcPr>
          <w:p w14:paraId="74257E6F">
            <w:pPr>
              <w:keepNext w:val="0"/>
              <w:keepLines w:val="0"/>
              <w:widowControl/>
              <w:suppressLineNumbers w:val="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w:t>
            </w:r>
          </w:p>
        </w:tc>
        <w:tc>
          <w:tcPr>
            <w:tcW w:w="1576" w:type="dxa"/>
            <w:vAlign w:val="center"/>
          </w:tcPr>
          <w:p w14:paraId="4A8C467E">
            <w:pPr>
              <w:keepNext w:val="0"/>
              <w:keepLines w:val="0"/>
              <w:widowControl/>
              <w:suppressLineNumbers w:val="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袋装水泥</w:t>
            </w:r>
          </w:p>
        </w:tc>
        <w:tc>
          <w:tcPr>
            <w:tcW w:w="1405" w:type="dxa"/>
            <w:vAlign w:val="center"/>
          </w:tcPr>
          <w:p w14:paraId="129D6A3A">
            <w:pPr>
              <w:keepNext w:val="0"/>
              <w:keepLines w:val="0"/>
              <w:widowControl/>
              <w:suppressLineNumbers w:val="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PO42.5</w:t>
            </w:r>
          </w:p>
        </w:tc>
        <w:tc>
          <w:tcPr>
            <w:tcW w:w="913" w:type="dxa"/>
            <w:vAlign w:val="center"/>
          </w:tcPr>
          <w:p w14:paraId="5F96D32B">
            <w:pPr>
              <w:keepNext w:val="0"/>
              <w:keepLines w:val="0"/>
              <w:widowControl/>
              <w:suppressLineNumbers w:val="0"/>
              <w:jc w:val="center"/>
              <w:textAlignment w:val="center"/>
              <w:rPr>
                <w:rStyle w:val="154"/>
                <w:rFonts w:hint="default" w:ascii="仿宋" w:hAnsi="仿宋" w:eastAsia="仿宋" w:cs="仿宋"/>
                <w:sz w:val="24"/>
                <w:szCs w:val="24"/>
                <w:lang w:val="en-US" w:eastAsia="zh-CN" w:bidi="ar"/>
              </w:rPr>
            </w:pPr>
            <w:r>
              <w:rPr>
                <w:rStyle w:val="154"/>
                <w:rFonts w:hint="eastAsia" w:ascii="仿宋" w:hAnsi="仿宋" w:eastAsia="仿宋" w:cs="仿宋"/>
                <w:sz w:val="24"/>
                <w:szCs w:val="24"/>
                <w:lang w:val="en-US" w:eastAsia="zh-CN" w:bidi="ar"/>
              </w:rPr>
              <w:t>吨</w:t>
            </w:r>
          </w:p>
        </w:tc>
        <w:tc>
          <w:tcPr>
            <w:tcW w:w="1117" w:type="dxa"/>
            <w:vAlign w:val="center"/>
          </w:tcPr>
          <w:p w14:paraId="1ECAFC7A">
            <w:pPr>
              <w:keepNext w:val="0"/>
              <w:keepLines w:val="0"/>
              <w:widowControl/>
              <w:suppressLineNumbers w:val="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color w:val="auto"/>
                <w:sz w:val="24"/>
                <w:szCs w:val="24"/>
                <w:highlight w:val="none"/>
                <w:lang w:val="en-US" w:eastAsia="zh-CN"/>
              </w:rPr>
              <w:t>200</w:t>
            </w:r>
          </w:p>
        </w:tc>
        <w:tc>
          <w:tcPr>
            <w:tcW w:w="1224" w:type="dxa"/>
            <w:vAlign w:val="center"/>
          </w:tcPr>
          <w:p w14:paraId="505FA50C">
            <w:pPr>
              <w:keepNext w:val="0"/>
              <w:keepLines w:val="0"/>
              <w:widowControl/>
              <w:suppressLineNumbers w:val="0"/>
              <w:jc w:val="center"/>
              <w:textAlignment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350</w:t>
            </w:r>
          </w:p>
        </w:tc>
        <w:tc>
          <w:tcPr>
            <w:tcW w:w="2205" w:type="dxa"/>
            <w:vAlign w:val="center"/>
          </w:tcPr>
          <w:p w14:paraId="4EB3588D">
            <w:pPr>
              <w:keepNext w:val="0"/>
              <w:keepLines w:val="0"/>
              <w:widowControl/>
              <w:suppressLineNumbers w:val="0"/>
              <w:jc w:val="center"/>
              <w:textAlignment w:val="center"/>
              <w:rPr>
                <w:rFonts w:hint="eastAsia" w:ascii="仿宋" w:hAnsi="仿宋" w:eastAsia="仿宋" w:cs="仿宋"/>
                <w:color w:val="auto"/>
                <w:sz w:val="24"/>
                <w:szCs w:val="24"/>
                <w:highlight w:val="none"/>
              </w:rPr>
            </w:pPr>
          </w:p>
        </w:tc>
        <w:tc>
          <w:tcPr>
            <w:tcW w:w="1470" w:type="dxa"/>
            <w:vAlign w:val="center"/>
          </w:tcPr>
          <w:p w14:paraId="1ADCB1BE">
            <w:pPr>
              <w:spacing w:line="400" w:lineRule="exact"/>
              <w:jc w:val="center"/>
              <w:rPr>
                <w:rFonts w:hint="eastAsia" w:ascii="仿宋" w:hAnsi="仿宋" w:eastAsia="仿宋" w:cs="仿宋"/>
                <w:color w:val="auto"/>
                <w:sz w:val="24"/>
                <w:szCs w:val="24"/>
                <w:highlight w:val="none"/>
              </w:rPr>
            </w:pPr>
          </w:p>
        </w:tc>
        <w:tc>
          <w:tcPr>
            <w:tcW w:w="990" w:type="dxa"/>
            <w:vAlign w:val="center"/>
          </w:tcPr>
          <w:p w14:paraId="5C799DF0">
            <w:pPr>
              <w:spacing w:line="400" w:lineRule="exact"/>
              <w:jc w:val="center"/>
              <w:rPr>
                <w:rFonts w:hint="eastAsia" w:ascii="仿宋" w:hAnsi="仿宋" w:eastAsia="仿宋" w:cs="仿宋"/>
                <w:color w:val="auto"/>
                <w:sz w:val="24"/>
                <w:szCs w:val="24"/>
                <w:highlight w:val="none"/>
                <w:lang w:val="en-US" w:eastAsia="zh-CN"/>
              </w:rPr>
            </w:pPr>
          </w:p>
        </w:tc>
        <w:tc>
          <w:tcPr>
            <w:tcW w:w="1740" w:type="dxa"/>
            <w:gridSpan w:val="2"/>
            <w:vAlign w:val="center"/>
          </w:tcPr>
          <w:p w14:paraId="679E3DE4">
            <w:pPr>
              <w:spacing w:line="400" w:lineRule="exact"/>
              <w:jc w:val="center"/>
              <w:rPr>
                <w:rFonts w:hint="eastAsia" w:ascii="仿宋" w:hAnsi="仿宋" w:eastAsia="仿宋" w:cs="仿宋"/>
                <w:color w:val="000000" w:themeColor="text1"/>
                <w:sz w:val="24"/>
                <w:szCs w:val="24"/>
                <w:highlight w:val="none"/>
                <w:lang w:eastAsia="zh-CN"/>
                <w14:textFill>
                  <w14:solidFill>
                    <w14:schemeClr w14:val="tx1"/>
                  </w14:solidFill>
                </w14:textFill>
              </w:rPr>
            </w:pPr>
          </w:p>
        </w:tc>
        <w:tc>
          <w:tcPr>
            <w:tcW w:w="2460" w:type="dxa"/>
            <w:shd w:val="clear" w:color="auto" w:fill="auto"/>
            <w:vAlign w:val="center"/>
          </w:tcPr>
          <w:p w14:paraId="70FE75AD">
            <w:pPr>
              <w:keepNext w:val="0"/>
              <w:keepLines w:val="0"/>
              <w:widowControl/>
              <w:suppressLineNumbers w:val="0"/>
              <w:jc w:val="center"/>
              <w:textAlignment w:val="center"/>
              <w:rPr>
                <w:rFonts w:hint="default"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5吨起送；根据现场需要</w:t>
            </w:r>
            <w:bookmarkStart w:id="5" w:name="OLE_LINK4"/>
            <w:r>
              <w:rPr>
                <w:rFonts w:hint="eastAsia" w:ascii="仿宋" w:hAnsi="仿宋" w:eastAsia="仿宋" w:cs="仿宋"/>
                <w:color w:val="000000" w:themeColor="text1"/>
                <w:sz w:val="24"/>
                <w:szCs w:val="24"/>
                <w:highlight w:val="none"/>
                <w:lang w:val="en-US" w:eastAsia="zh-CN"/>
                <w14:textFill>
                  <w14:solidFill>
                    <w14:schemeClr w14:val="tx1"/>
                  </w14:solidFill>
                </w14:textFill>
              </w:rPr>
              <w:t>分批</w:t>
            </w:r>
            <w:bookmarkEnd w:id="5"/>
            <w:r>
              <w:rPr>
                <w:rFonts w:hint="eastAsia" w:ascii="仿宋" w:hAnsi="仿宋" w:eastAsia="仿宋" w:cs="仿宋"/>
                <w:color w:val="000000" w:themeColor="text1"/>
                <w:sz w:val="24"/>
                <w:szCs w:val="24"/>
                <w:highlight w:val="none"/>
                <w:lang w:val="en-US" w:eastAsia="zh-CN"/>
                <w14:textFill>
                  <w14:solidFill>
                    <w14:schemeClr w14:val="tx1"/>
                  </w14:solidFill>
                </w14:textFill>
              </w:rPr>
              <w:t>次供货</w:t>
            </w:r>
          </w:p>
        </w:tc>
      </w:tr>
      <w:tr w14:paraId="5F77D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523" w:type="dxa"/>
            <w:vAlign w:val="center"/>
          </w:tcPr>
          <w:p w14:paraId="77D3F288">
            <w:pPr>
              <w:spacing w:line="400" w:lineRule="exact"/>
              <w:jc w:val="center"/>
              <w:rPr>
                <w:rFonts w:hint="eastAsia" w:ascii="仿宋" w:hAnsi="仿宋" w:eastAsia="仿宋" w:cs="仿宋"/>
                <w:color w:val="auto"/>
                <w:sz w:val="24"/>
                <w:szCs w:val="24"/>
                <w:highlight w:val="none"/>
                <w:lang w:val="en-US" w:eastAsia="zh-CN"/>
              </w:rPr>
            </w:pPr>
          </w:p>
        </w:tc>
        <w:tc>
          <w:tcPr>
            <w:tcW w:w="5011" w:type="dxa"/>
            <w:gridSpan w:val="4"/>
            <w:vAlign w:val="center"/>
          </w:tcPr>
          <w:p w14:paraId="7DB89783">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合计：</w:t>
            </w:r>
          </w:p>
        </w:tc>
        <w:tc>
          <w:tcPr>
            <w:tcW w:w="1224" w:type="dxa"/>
            <w:vAlign w:val="center"/>
          </w:tcPr>
          <w:p w14:paraId="2694D743">
            <w:pPr>
              <w:keepNext w:val="0"/>
              <w:keepLines w:val="0"/>
              <w:widowControl/>
              <w:suppressLineNumbers w:val="0"/>
              <w:jc w:val="center"/>
              <w:textAlignment w:val="center"/>
              <w:rPr>
                <w:rFonts w:hint="eastAsia" w:ascii="仿宋" w:hAnsi="仿宋" w:eastAsia="仿宋" w:cs="仿宋"/>
                <w:color w:val="auto"/>
                <w:sz w:val="24"/>
                <w:szCs w:val="24"/>
              </w:rPr>
            </w:pPr>
          </w:p>
        </w:tc>
        <w:tc>
          <w:tcPr>
            <w:tcW w:w="2205" w:type="dxa"/>
            <w:vAlign w:val="center"/>
          </w:tcPr>
          <w:p w14:paraId="17FAB548">
            <w:pPr>
              <w:keepNext w:val="0"/>
              <w:keepLines w:val="0"/>
              <w:widowControl/>
              <w:suppressLineNumbers w:val="0"/>
              <w:jc w:val="center"/>
              <w:textAlignment w:val="center"/>
              <w:rPr>
                <w:rFonts w:hint="eastAsia" w:ascii="仿宋" w:hAnsi="仿宋" w:eastAsia="仿宋" w:cs="仿宋"/>
                <w:color w:val="auto"/>
                <w:sz w:val="24"/>
                <w:szCs w:val="24"/>
              </w:rPr>
            </w:pPr>
          </w:p>
        </w:tc>
        <w:tc>
          <w:tcPr>
            <w:tcW w:w="1470" w:type="dxa"/>
            <w:vAlign w:val="center"/>
          </w:tcPr>
          <w:p w14:paraId="1CF8BAFD">
            <w:pPr>
              <w:spacing w:line="400" w:lineRule="exact"/>
              <w:jc w:val="center"/>
              <w:rPr>
                <w:rFonts w:hint="eastAsia" w:ascii="仿宋" w:hAnsi="仿宋" w:eastAsia="仿宋" w:cs="仿宋"/>
                <w:color w:val="auto"/>
                <w:sz w:val="24"/>
                <w:szCs w:val="24"/>
                <w:highlight w:val="none"/>
              </w:rPr>
            </w:pPr>
          </w:p>
        </w:tc>
        <w:tc>
          <w:tcPr>
            <w:tcW w:w="990" w:type="dxa"/>
            <w:vAlign w:val="center"/>
          </w:tcPr>
          <w:p w14:paraId="0C892D5D">
            <w:pPr>
              <w:spacing w:line="400" w:lineRule="exact"/>
              <w:jc w:val="center"/>
              <w:rPr>
                <w:rFonts w:hint="eastAsia" w:ascii="仿宋" w:hAnsi="仿宋" w:eastAsia="仿宋" w:cs="仿宋"/>
                <w:color w:val="auto"/>
                <w:sz w:val="24"/>
                <w:szCs w:val="24"/>
                <w:highlight w:val="none"/>
              </w:rPr>
            </w:pPr>
          </w:p>
        </w:tc>
        <w:tc>
          <w:tcPr>
            <w:tcW w:w="1740" w:type="dxa"/>
            <w:gridSpan w:val="2"/>
            <w:vAlign w:val="center"/>
          </w:tcPr>
          <w:p w14:paraId="3CD3927C">
            <w:pPr>
              <w:spacing w:line="40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2460" w:type="dxa"/>
            <w:vAlign w:val="center"/>
          </w:tcPr>
          <w:p w14:paraId="75D3CAE5">
            <w:pPr>
              <w:widowControl/>
              <w:jc w:val="center"/>
              <w:textAlignment w:val="center"/>
              <w:rPr>
                <w:rFonts w:hint="eastAsia" w:ascii="仿宋" w:hAnsi="仿宋" w:eastAsia="仿宋" w:cs="仿宋"/>
                <w:color w:val="000000" w:themeColor="text1"/>
                <w:kern w:val="0"/>
                <w:sz w:val="24"/>
                <w:szCs w:val="24"/>
                <w:highlight w:val="none"/>
                <w14:textFill>
                  <w14:solidFill>
                    <w14:schemeClr w14:val="tx1"/>
                  </w14:solidFill>
                </w14:textFill>
              </w:rPr>
            </w:pPr>
          </w:p>
        </w:tc>
      </w:tr>
      <w:tr w14:paraId="45F8D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15623" w:type="dxa"/>
            <w:gridSpan w:val="12"/>
            <w:vAlign w:val="center"/>
          </w:tcPr>
          <w:p w14:paraId="50F2EEE1">
            <w:pPr>
              <w:spacing w:line="400" w:lineRule="exact"/>
              <w:rPr>
                <w:rFonts w:hint="eastAsia" w:ascii="仿宋" w:hAnsi="仿宋" w:eastAsia="仿宋" w:cs="仿宋"/>
                <w:sz w:val="24"/>
                <w:szCs w:val="24"/>
                <w:highlight w:val="none"/>
              </w:rPr>
            </w:pPr>
            <w:bookmarkStart w:id="6" w:name="OLE_LINK7" w:colFirst="0" w:colLast="1"/>
            <w:r>
              <w:rPr>
                <w:rFonts w:hint="eastAsia" w:ascii="仿宋" w:hAnsi="仿宋" w:eastAsia="仿宋" w:cs="仿宋"/>
                <w:sz w:val="24"/>
                <w:szCs w:val="24"/>
                <w:highlight w:val="none"/>
              </w:rPr>
              <w:t xml:space="preserve">说明：1、此报价表中带 </w:t>
            </w:r>
            <w:r>
              <w:rPr>
                <w:rFonts w:hint="eastAsia" w:ascii="仿宋" w:hAnsi="仿宋" w:eastAsia="仿宋" w:cs="仿宋"/>
                <w:color w:val="auto"/>
                <w:sz w:val="24"/>
                <w:szCs w:val="24"/>
                <w:highlight w:val="none"/>
              </w:rPr>
              <w:t>*</w:t>
            </w:r>
            <w:r>
              <w:rPr>
                <w:rFonts w:hint="eastAsia" w:ascii="仿宋" w:hAnsi="仿宋" w:eastAsia="仿宋" w:cs="仿宋"/>
                <w:sz w:val="24"/>
                <w:szCs w:val="24"/>
                <w:highlight w:val="none"/>
              </w:rPr>
              <w:t xml:space="preserve"> 号为必填项，投标人的所有报价文件均为加盖单位公章的打印件（签名部分除外）。</w:t>
            </w:r>
          </w:p>
          <w:p w14:paraId="1FE6C6F6">
            <w:pPr>
              <w:spacing w:line="400" w:lineRule="exact"/>
              <w:ind w:firstLine="720" w:firstLineChars="300"/>
              <w:rPr>
                <w:rFonts w:hint="eastAsia" w:ascii="仿宋" w:hAnsi="仿宋" w:eastAsia="仿宋" w:cs="仿宋"/>
                <w:sz w:val="24"/>
                <w:szCs w:val="24"/>
                <w:highlight w:val="none"/>
              </w:rPr>
            </w:pPr>
            <w:r>
              <w:rPr>
                <w:rFonts w:hint="eastAsia" w:ascii="仿宋" w:hAnsi="仿宋" w:eastAsia="仿宋" w:cs="仿宋"/>
                <w:sz w:val="24"/>
                <w:szCs w:val="24"/>
                <w:highlight w:val="none"/>
              </w:rPr>
              <w:t>2、本次招标的数量为预估量，最终结算数量以双方确认的实际供货数量为准。</w:t>
            </w:r>
          </w:p>
          <w:p w14:paraId="72FF95FA">
            <w:pPr>
              <w:spacing w:line="400" w:lineRule="exact"/>
              <w:ind w:firstLine="720" w:firstLineChars="300"/>
              <w:rPr>
                <w:rFonts w:hint="eastAsia" w:ascii="仿宋" w:hAnsi="仿宋" w:eastAsia="仿宋" w:cs="仿宋"/>
                <w:sz w:val="24"/>
                <w:szCs w:val="24"/>
                <w:highlight w:val="none"/>
              </w:rPr>
            </w:pPr>
          </w:p>
        </w:tc>
      </w:tr>
      <w:bookmarkEnd w:id="6"/>
      <w:tr w14:paraId="2D9F9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5534" w:type="dxa"/>
            <w:gridSpan w:val="5"/>
            <w:vMerge w:val="restart"/>
            <w:vAlign w:val="center"/>
          </w:tcPr>
          <w:p w14:paraId="001E324C">
            <w:pPr>
              <w:spacing w:line="400" w:lineRule="exact"/>
              <w:ind w:firstLine="240" w:firstLineChars="100"/>
              <w:rPr>
                <w:rFonts w:hint="eastAsia" w:ascii="仿宋" w:hAnsi="仿宋" w:eastAsia="仿宋" w:cs="仿宋"/>
                <w:sz w:val="24"/>
                <w:szCs w:val="24"/>
                <w:highlight w:val="none"/>
              </w:rPr>
            </w:pPr>
            <w:r>
              <w:rPr>
                <w:rFonts w:hint="eastAsia" w:ascii="仿宋" w:hAnsi="仿宋" w:eastAsia="仿宋" w:cs="仿宋"/>
                <w:sz w:val="24"/>
                <w:szCs w:val="24"/>
                <w:highlight w:val="none"/>
              </w:rPr>
              <w:t>投标单位（公章）</w:t>
            </w:r>
          </w:p>
        </w:tc>
        <w:tc>
          <w:tcPr>
            <w:tcW w:w="4899" w:type="dxa"/>
            <w:gridSpan w:val="3"/>
            <w:vAlign w:val="center"/>
          </w:tcPr>
          <w:p w14:paraId="7E438787">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法定代表人或授权委托人</w:t>
            </w:r>
          </w:p>
        </w:tc>
        <w:tc>
          <w:tcPr>
            <w:tcW w:w="5190" w:type="dxa"/>
            <w:gridSpan w:val="4"/>
            <w:vAlign w:val="center"/>
          </w:tcPr>
          <w:p w14:paraId="4C4C709F">
            <w:pPr>
              <w:spacing w:line="400" w:lineRule="exact"/>
              <w:rPr>
                <w:rFonts w:hint="eastAsia" w:ascii="仿宋" w:hAnsi="仿宋" w:eastAsia="仿宋" w:cs="仿宋"/>
                <w:sz w:val="24"/>
                <w:szCs w:val="24"/>
                <w:highlight w:val="none"/>
              </w:rPr>
            </w:pPr>
          </w:p>
        </w:tc>
      </w:tr>
      <w:tr w14:paraId="1693B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5534" w:type="dxa"/>
            <w:gridSpan w:val="5"/>
            <w:vMerge w:val="continue"/>
            <w:vAlign w:val="center"/>
          </w:tcPr>
          <w:p w14:paraId="3F40C7D2">
            <w:pPr>
              <w:spacing w:line="400" w:lineRule="exact"/>
              <w:rPr>
                <w:rFonts w:hint="eastAsia" w:ascii="仿宋" w:hAnsi="仿宋" w:eastAsia="仿宋" w:cs="仿宋"/>
                <w:sz w:val="24"/>
                <w:szCs w:val="24"/>
                <w:highlight w:val="none"/>
              </w:rPr>
            </w:pPr>
          </w:p>
        </w:tc>
        <w:tc>
          <w:tcPr>
            <w:tcW w:w="4899" w:type="dxa"/>
            <w:gridSpan w:val="3"/>
            <w:vMerge w:val="restart"/>
            <w:vAlign w:val="center"/>
          </w:tcPr>
          <w:p w14:paraId="4B767D6A">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联系方式</w:t>
            </w:r>
          </w:p>
        </w:tc>
        <w:tc>
          <w:tcPr>
            <w:tcW w:w="1875" w:type="dxa"/>
            <w:gridSpan w:val="2"/>
            <w:vAlign w:val="center"/>
          </w:tcPr>
          <w:p w14:paraId="2052B407">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电话</w:t>
            </w:r>
          </w:p>
        </w:tc>
        <w:tc>
          <w:tcPr>
            <w:tcW w:w="3315" w:type="dxa"/>
            <w:gridSpan w:val="2"/>
            <w:vAlign w:val="center"/>
          </w:tcPr>
          <w:p w14:paraId="370351E0">
            <w:pPr>
              <w:spacing w:line="400" w:lineRule="exact"/>
              <w:rPr>
                <w:rFonts w:hint="eastAsia" w:ascii="仿宋" w:hAnsi="仿宋" w:eastAsia="仿宋" w:cs="仿宋"/>
                <w:sz w:val="24"/>
                <w:szCs w:val="24"/>
                <w:highlight w:val="none"/>
              </w:rPr>
            </w:pPr>
          </w:p>
        </w:tc>
      </w:tr>
      <w:tr w14:paraId="0A6DE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5534" w:type="dxa"/>
            <w:gridSpan w:val="5"/>
            <w:vMerge w:val="continue"/>
            <w:vAlign w:val="center"/>
          </w:tcPr>
          <w:p w14:paraId="74137DC8">
            <w:pPr>
              <w:spacing w:line="400" w:lineRule="exact"/>
              <w:rPr>
                <w:rFonts w:hint="eastAsia" w:ascii="仿宋" w:hAnsi="仿宋" w:eastAsia="仿宋" w:cs="仿宋"/>
                <w:sz w:val="24"/>
                <w:szCs w:val="24"/>
                <w:highlight w:val="none"/>
              </w:rPr>
            </w:pPr>
          </w:p>
        </w:tc>
        <w:tc>
          <w:tcPr>
            <w:tcW w:w="4899" w:type="dxa"/>
            <w:gridSpan w:val="3"/>
            <w:vMerge w:val="continue"/>
            <w:vAlign w:val="center"/>
          </w:tcPr>
          <w:p w14:paraId="59CD3ED8">
            <w:pPr>
              <w:spacing w:line="400" w:lineRule="exact"/>
              <w:jc w:val="center"/>
              <w:rPr>
                <w:rFonts w:hint="eastAsia" w:ascii="仿宋" w:hAnsi="仿宋" w:eastAsia="仿宋" w:cs="仿宋"/>
                <w:sz w:val="24"/>
                <w:szCs w:val="24"/>
                <w:highlight w:val="none"/>
              </w:rPr>
            </w:pPr>
          </w:p>
        </w:tc>
        <w:tc>
          <w:tcPr>
            <w:tcW w:w="1875" w:type="dxa"/>
            <w:gridSpan w:val="2"/>
            <w:vAlign w:val="center"/>
          </w:tcPr>
          <w:p w14:paraId="06E2DB5F">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邮箱</w:t>
            </w:r>
          </w:p>
        </w:tc>
        <w:tc>
          <w:tcPr>
            <w:tcW w:w="3315" w:type="dxa"/>
            <w:gridSpan w:val="2"/>
            <w:vAlign w:val="center"/>
          </w:tcPr>
          <w:p w14:paraId="20C64136">
            <w:pPr>
              <w:spacing w:line="400" w:lineRule="exact"/>
              <w:rPr>
                <w:rFonts w:hint="eastAsia" w:ascii="仿宋" w:hAnsi="仿宋" w:eastAsia="仿宋" w:cs="仿宋"/>
                <w:sz w:val="24"/>
                <w:szCs w:val="24"/>
                <w:highlight w:val="none"/>
              </w:rPr>
            </w:pPr>
          </w:p>
        </w:tc>
      </w:tr>
    </w:tbl>
    <w:p w14:paraId="1624BD37">
      <w:pPr>
        <w:pStyle w:val="2"/>
        <w:ind w:left="0" w:leftChars="0" w:firstLine="0" w:firstLineChars="0"/>
        <w:rPr>
          <w:rFonts w:ascii="仿宋" w:hAnsi="仿宋" w:eastAsia="仿宋"/>
          <w:b/>
          <w:sz w:val="28"/>
          <w:szCs w:val="28"/>
          <w:highlight w:val="none"/>
        </w:rPr>
      </w:pPr>
    </w:p>
    <w:sectPr>
      <w:pgSz w:w="16838" w:h="11906" w:orient="landscape"/>
      <w:pgMar w:top="1338" w:right="312" w:bottom="1469" w:left="709" w:header="851" w:footer="273" w:gutter="284"/>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细黑">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435AC1">
    <w:pPr>
      <w:pStyle w:val="31"/>
      <w:jc w:val="center"/>
    </w:pPr>
  </w:p>
  <w:p w14:paraId="7021DEA6">
    <w:pPr>
      <w:pStyle w:val="3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A8706E">
    <w:pPr>
      <w:pStyle w:val="31"/>
      <w:framePr w:wrap="around" w:vAnchor="text" w:hAnchor="margin" w:xAlign="right" w:y="1"/>
      <w:rPr>
        <w:rStyle w:val="51"/>
      </w:rPr>
    </w:pPr>
    <w:r>
      <w:fldChar w:fldCharType="begin"/>
    </w:r>
    <w:r>
      <w:rPr>
        <w:rStyle w:val="51"/>
      </w:rPr>
      <w:instrText xml:space="preserve">PAGE  </w:instrText>
    </w:r>
    <w:r>
      <w:fldChar w:fldCharType="end"/>
    </w:r>
  </w:p>
  <w:p w14:paraId="4AA9A707">
    <w:pPr>
      <w:pStyle w:val="3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6103C8">
    <w:pPr>
      <w:pStyle w:val="31"/>
      <w:ind w:right="360"/>
      <w:jc w:val="right"/>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0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48DC41A">
                          <w:pPr>
                            <w:pStyle w:val="31"/>
                            <w:rPr>
                              <w:rStyle w:val="51"/>
                            </w:rPr>
                          </w:pPr>
                          <w:r>
                            <w:fldChar w:fldCharType="begin"/>
                          </w:r>
                          <w:r>
                            <w:rPr>
                              <w:rStyle w:val="51"/>
                            </w:rPr>
                            <w:instrText xml:space="preserve">PAGE  </w:instrText>
                          </w:r>
                          <w:r>
                            <w:fldChar w:fldCharType="separate"/>
                          </w:r>
                          <w:r>
                            <w:rPr>
                              <w:rStyle w:val="51"/>
                            </w:rPr>
                            <w:t>2</w:t>
                          </w:r>
                          <w:r>
                            <w:fldChar w:fldCharType="end"/>
                          </w:r>
                        </w:p>
                      </w:txbxContent>
                    </wps:txbx>
                    <wps:bodyPr wrap="none" lIns="0" tIns="0" rIns="0" bIns="0" upright="0">
                      <a:spAutoFit/>
                    </wps:bodyPr>
                  </wps:wsp>
                </a:graphicData>
              </a:graphic>
            </wp:anchor>
          </w:drawing>
        </mc:Choice>
        <mc:Fallback>
          <w:pict>
            <v:shape id="文本框 2051"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B4FFJAzwEAAKoDAAAOAAAAAAAAAAEAIAAAAB4BAABkcnMv&#10;ZTJvRG9jLnhtbFBLBQYAAAAABgAGAFkBAABfBQAAAAA=&#10;">
              <v:fill on="f" focussize="0,0"/>
              <v:stroke on="f"/>
              <v:imagedata o:title=""/>
              <o:lock v:ext="edit" aspectratio="f"/>
              <v:textbox inset="0mm,0mm,0mm,0mm" style="mso-fit-shape-to-text:t;">
                <w:txbxContent>
                  <w:p w14:paraId="748DC41A">
                    <w:pPr>
                      <w:pStyle w:val="31"/>
                      <w:rPr>
                        <w:rStyle w:val="51"/>
                      </w:rPr>
                    </w:pPr>
                    <w:r>
                      <w:fldChar w:fldCharType="begin"/>
                    </w:r>
                    <w:r>
                      <w:rPr>
                        <w:rStyle w:val="51"/>
                      </w:rPr>
                      <w:instrText xml:space="preserve">PAGE  </w:instrText>
                    </w:r>
                    <w:r>
                      <w:fldChar w:fldCharType="separate"/>
                    </w:r>
                    <w:r>
                      <w:rPr>
                        <w:rStyle w:val="51"/>
                      </w:rP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59B359">
    <w:pPr>
      <w:rPr>
        <w:sz w:val="18"/>
        <w:szCs w:val="18"/>
      </w:rPr>
    </w:pPr>
    <w:r>
      <w:rPr>
        <w:sz w:val="18"/>
        <w:szCs w:val="18"/>
      </w:rPr>
      <w:drawing>
        <wp:inline distT="0" distB="0" distL="114300" distR="114300">
          <wp:extent cx="228600" cy="209550"/>
          <wp:effectExtent l="0" t="0" r="0" b="0"/>
          <wp:docPr id="3"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tlys"/>
                  <pic:cNvPicPr>
                    <a:picLocks noChangeAspect="1"/>
                  </pic:cNvPicPr>
                </pic:nvPicPr>
                <pic:blipFill>
                  <a:blip r:embed="rId1"/>
                  <a:stretch>
                    <a:fillRect/>
                  </a:stretch>
                </pic:blipFill>
                <pic:spPr>
                  <a:xfrm>
                    <a:off x="0" y="0"/>
                    <a:ext cx="228600" cy="209550"/>
                  </a:xfrm>
                  <a:prstGeom prst="rect">
                    <a:avLst/>
                  </a:prstGeom>
                  <a:noFill/>
                  <a:ln>
                    <a:noFill/>
                  </a:ln>
                </pic:spPr>
              </pic:pic>
            </a:graphicData>
          </a:graphic>
        </wp:inline>
      </w:drawing>
    </w:r>
    <w:r>
      <w:rPr>
        <w:rFonts w:hint="eastAsia"/>
        <w:sz w:val="18"/>
        <w:szCs w:val="18"/>
        <w:u w:val="single"/>
      </w:rPr>
      <w:t>铜陵有色金属集团铜冠建筑安装股份有限公司　　　　　　　　　    物资竞价文件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F476DB">
    <w:pPr>
      <w:rPr>
        <w:sz w:val="18"/>
        <w:szCs w:val="18"/>
        <w:u w:val="single"/>
      </w:rPr>
    </w:pPr>
    <w:r>
      <w:rPr>
        <w:sz w:val="18"/>
        <w:szCs w:val="18"/>
        <w:u w:val="single"/>
      </w:rPr>
      <w:drawing>
        <wp:inline distT="0" distB="0" distL="114300" distR="114300">
          <wp:extent cx="228600" cy="209550"/>
          <wp:effectExtent l="0" t="0" r="0" b="0"/>
          <wp:docPr id="4"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tlys"/>
                  <pic:cNvPicPr>
                    <a:picLocks noChangeAspect="1"/>
                  </pic:cNvPicPr>
                </pic:nvPicPr>
                <pic:blipFill>
                  <a:blip r:embed="rId1"/>
                  <a:stretch>
                    <a:fillRect/>
                  </a:stretch>
                </pic:blipFill>
                <pic:spPr>
                  <a:xfrm>
                    <a:off x="0" y="0"/>
                    <a:ext cx="228600" cy="209550"/>
                  </a:xfrm>
                  <a:prstGeom prst="rect">
                    <a:avLst/>
                  </a:prstGeom>
                  <a:noFill/>
                  <a:ln>
                    <a:noFill/>
                  </a:ln>
                </pic:spPr>
              </pic:pic>
            </a:graphicData>
          </a:graphic>
        </wp:inline>
      </w:drawing>
    </w:r>
    <w:r>
      <w:rPr>
        <w:rFonts w:hint="eastAsia"/>
        <w:sz w:val="18"/>
        <w:szCs w:val="18"/>
        <w:u w:val="single"/>
      </w:rPr>
      <w:t>铜陵有色金属集团铜冠建筑安装股份有限公司           　　　         物资竞价文件</w:t>
    </w:r>
  </w:p>
  <w:p w14:paraId="4B01A317">
    <w:pPr>
      <w:pStyle w:val="3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2BEA27D7"/>
    <w:multiLevelType w:val="singleLevel"/>
    <w:tmpl w:val="2BEA27D7"/>
    <w:lvl w:ilvl="0" w:tentative="0">
      <w:start w:val="6"/>
      <w:numFmt w:val="decimal"/>
      <w:suff w:val="nothing"/>
      <w:lvlText w:val="%1、"/>
      <w:lvlJc w:val="left"/>
    </w:lvl>
  </w:abstractNum>
  <w:abstractNum w:abstractNumId="2">
    <w:nsid w:val="438B66A3"/>
    <w:multiLevelType w:val="multilevel"/>
    <w:tmpl w:val="438B66A3"/>
    <w:lvl w:ilvl="0" w:tentative="0">
      <w:start w:val="1"/>
      <w:numFmt w:val="decimal"/>
      <w:pStyle w:val="62"/>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4MGQzNjc5ZGE1Mzg2NDBjZGFjOTRmNWIzN2I3NzMifQ=="/>
  </w:docVars>
  <w:rsids>
    <w:rsidRoot w:val="00172A27"/>
    <w:rsid w:val="0000135C"/>
    <w:rsid w:val="0000241E"/>
    <w:rsid w:val="00002AE1"/>
    <w:rsid w:val="00004FB7"/>
    <w:rsid w:val="00010EC3"/>
    <w:rsid w:val="000135B4"/>
    <w:rsid w:val="00015D3F"/>
    <w:rsid w:val="0001705D"/>
    <w:rsid w:val="00017307"/>
    <w:rsid w:val="00017F6C"/>
    <w:rsid w:val="00020360"/>
    <w:rsid w:val="00020FD6"/>
    <w:rsid w:val="000226DD"/>
    <w:rsid w:val="00024BD0"/>
    <w:rsid w:val="000263E2"/>
    <w:rsid w:val="0003099D"/>
    <w:rsid w:val="00033176"/>
    <w:rsid w:val="00033A6F"/>
    <w:rsid w:val="00035337"/>
    <w:rsid w:val="00035C1C"/>
    <w:rsid w:val="00043460"/>
    <w:rsid w:val="00044EB4"/>
    <w:rsid w:val="000451B4"/>
    <w:rsid w:val="00046E93"/>
    <w:rsid w:val="000509DE"/>
    <w:rsid w:val="00051D40"/>
    <w:rsid w:val="00052B99"/>
    <w:rsid w:val="000554D1"/>
    <w:rsid w:val="00056974"/>
    <w:rsid w:val="00057052"/>
    <w:rsid w:val="00057704"/>
    <w:rsid w:val="000600DA"/>
    <w:rsid w:val="00062061"/>
    <w:rsid w:val="00062ADB"/>
    <w:rsid w:val="00064C97"/>
    <w:rsid w:val="00065BBF"/>
    <w:rsid w:val="00065DDC"/>
    <w:rsid w:val="00066E50"/>
    <w:rsid w:val="0006769A"/>
    <w:rsid w:val="00070D77"/>
    <w:rsid w:val="000732F3"/>
    <w:rsid w:val="000751EA"/>
    <w:rsid w:val="00076A5F"/>
    <w:rsid w:val="00077029"/>
    <w:rsid w:val="000805F5"/>
    <w:rsid w:val="000811EE"/>
    <w:rsid w:val="00081A52"/>
    <w:rsid w:val="00083DAF"/>
    <w:rsid w:val="00084094"/>
    <w:rsid w:val="0008424C"/>
    <w:rsid w:val="000847B5"/>
    <w:rsid w:val="00085441"/>
    <w:rsid w:val="00085DEA"/>
    <w:rsid w:val="00086281"/>
    <w:rsid w:val="00086AC4"/>
    <w:rsid w:val="00090053"/>
    <w:rsid w:val="000937C5"/>
    <w:rsid w:val="00093C34"/>
    <w:rsid w:val="00096C07"/>
    <w:rsid w:val="00096ECD"/>
    <w:rsid w:val="00097732"/>
    <w:rsid w:val="00097962"/>
    <w:rsid w:val="000A1422"/>
    <w:rsid w:val="000A2577"/>
    <w:rsid w:val="000A2BC9"/>
    <w:rsid w:val="000A2D5F"/>
    <w:rsid w:val="000A3FBC"/>
    <w:rsid w:val="000A5054"/>
    <w:rsid w:val="000A5C90"/>
    <w:rsid w:val="000A709C"/>
    <w:rsid w:val="000B4D43"/>
    <w:rsid w:val="000B6D9C"/>
    <w:rsid w:val="000B751D"/>
    <w:rsid w:val="000C1AB7"/>
    <w:rsid w:val="000C24CD"/>
    <w:rsid w:val="000C434A"/>
    <w:rsid w:val="000C628D"/>
    <w:rsid w:val="000C724D"/>
    <w:rsid w:val="000C75BC"/>
    <w:rsid w:val="000D4E04"/>
    <w:rsid w:val="000D73A2"/>
    <w:rsid w:val="000E08B4"/>
    <w:rsid w:val="000E08B9"/>
    <w:rsid w:val="000E3515"/>
    <w:rsid w:val="000E7955"/>
    <w:rsid w:val="000F1F80"/>
    <w:rsid w:val="000F37C3"/>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27DF"/>
    <w:rsid w:val="0012356E"/>
    <w:rsid w:val="00124A2E"/>
    <w:rsid w:val="00130EDA"/>
    <w:rsid w:val="00130F21"/>
    <w:rsid w:val="00132040"/>
    <w:rsid w:val="00132C53"/>
    <w:rsid w:val="0013319E"/>
    <w:rsid w:val="0013565E"/>
    <w:rsid w:val="00135EF2"/>
    <w:rsid w:val="001366DF"/>
    <w:rsid w:val="001433EE"/>
    <w:rsid w:val="00144695"/>
    <w:rsid w:val="0014483A"/>
    <w:rsid w:val="001463DD"/>
    <w:rsid w:val="001517EC"/>
    <w:rsid w:val="00151850"/>
    <w:rsid w:val="00151E53"/>
    <w:rsid w:val="00152324"/>
    <w:rsid w:val="00152955"/>
    <w:rsid w:val="00152A14"/>
    <w:rsid w:val="00152AED"/>
    <w:rsid w:val="001574C3"/>
    <w:rsid w:val="00157CE5"/>
    <w:rsid w:val="00157F80"/>
    <w:rsid w:val="00162D70"/>
    <w:rsid w:val="001636AF"/>
    <w:rsid w:val="0016486D"/>
    <w:rsid w:val="00166DBE"/>
    <w:rsid w:val="00171951"/>
    <w:rsid w:val="00172A27"/>
    <w:rsid w:val="00175E3E"/>
    <w:rsid w:val="001808AE"/>
    <w:rsid w:val="00181A04"/>
    <w:rsid w:val="00181C28"/>
    <w:rsid w:val="00184EE4"/>
    <w:rsid w:val="00186B88"/>
    <w:rsid w:val="001908CF"/>
    <w:rsid w:val="001914B8"/>
    <w:rsid w:val="00192807"/>
    <w:rsid w:val="001928BE"/>
    <w:rsid w:val="00195A28"/>
    <w:rsid w:val="0019607A"/>
    <w:rsid w:val="001A4289"/>
    <w:rsid w:val="001A62BD"/>
    <w:rsid w:val="001B068D"/>
    <w:rsid w:val="001B077C"/>
    <w:rsid w:val="001B2097"/>
    <w:rsid w:val="001B36FE"/>
    <w:rsid w:val="001B4498"/>
    <w:rsid w:val="001B55AF"/>
    <w:rsid w:val="001B6F77"/>
    <w:rsid w:val="001B7203"/>
    <w:rsid w:val="001C1CEC"/>
    <w:rsid w:val="001C7021"/>
    <w:rsid w:val="001D017A"/>
    <w:rsid w:val="001D078D"/>
    <w:rsid w:val="001D1233"/>
    <w:rsid w:val="001D19F4"/>
    <w:rsid w:val="001D1F75"/>
    <w:rsid w:val="001D2040"/>
    <w:rsid w:val="001D6FFB"/>
    <w:rsid w:val="001D7832"/>
    <w:rsid w:val="001D7DCC"/>
    <w:rsid w:val="001E0BB3"/>
    <w:rsid w:val="001E1495"/>
    <w:rsid w:val="001E4303"/>
    <w:rsid w:val="001E4497"/>
    <w:rsid w:val="001E461D"/>
    <w:rsid w:val="001E5D46"/>
    <w:rsid w:val="001E7F1F"/>
    <w:rsid w:val="001F0E84"/>
    <w:rsid w:val="002017F4"/>
    <w:rsid w:val="00201B6E"/>
    <w:rsid w:val="0020299E"/>
    <w:rsid w:val="002055AE"/>
    <w:rsid w:val="00210D17"/>
    <w:rsid w:val="00211B80"/>
    <w:rsid w:val="0021269F"/>
    <w:rsid w:val="002126B9"/>
    <w:rsid w:val="00212ACB"/>
    <w:rsid w:val="0021329B"/>
    <w:rsid w:val="00214AB1"/>
    <w:rsid w:val="00214C48"/>
    <w:rsid w:val="00215422"/>
    <w:rsid w:val="00215868"/>
    <w:rsid w:val="00216B6F"/>
    <w:rsid w:val="002208CD"/>
    <w:rsid w:val="0022291E"/>
    <w:rsid w:val="00223017"/>
    <w:rsid w:val="0023156A"/>
    <w:rsid w:val="00231FEB"/>
    <w:rsid w:val="00237140"/>
    <w:rsid w:val="0023771E"/>
    <w:rsid w:val="0023772E"/>
    <w:rsid w:val="00240174"/>
    <w:rsid w:val="00240778"/>
    <w:rsid w:val="00240D1B"/>
    <w:rsid w:val="00241D19"/>
    <w:rsid w:val="00243B82"/>
    <w:rsid w:val="00246692"/>
    <w:rsid w:val="00247E18"/>
    <w:rsid w:val="002514B4"/>
    <w:rsid w:val="00253C7C"/>
    <w:rsid w:val="00253D95"/>
    <w:rsid w:val="00256C09"/>
    <w:rsid w:val="00256CFD"/>
    <w:rsid w:val="00260383"/>
    <w:rsid w:val="0026086C"/>
    <w:rsid w:val="00261833"/>
    <w:rsid w:val="00262B8B"/>
    <w:rsid w:val="00267B2C"/>
    <w:rsid w:val="00271CA6"/>
    <w:rsid w:val="00275859"/>
    <w:rsid w:val="0027586B"/>
    <w:rsid w:val="00275DB3"/>
    <w:rsid w:val="0027618B"/>
    <w:rsid w:val="00281A4C"/>
    <w:rsid w:val="002843A0"/>
    <w:rsid w:val="0028652C"/>
    <w:rsid w:val="0029044A"/>
    <w:rsid w:val="0029466A"/>
    <w:rsid w:val="0029671E"/>
    <w:rsid w:val="00297F03"/>
    <w:rsid w:val="002A10EF"/>
    <w:rsid w:val="002A3177"/>
    <w:rsid w:val="002A3444"/>
    <w:rsid w:val="002A73F9"/>
    <w:rsid w:val="002B0253"/>
    <w:rsid w:val="002B03ED"/>
    <w:rsid w:val="002B1A7D"/>
    <w:rsid w:val="002B2A97"/>
    <w:rsid w:val="002B3268"/>
    <w:rsid w:val="002B4EB5"/>
    <w:rsid w:val="002B5823"/>
    <w:rsid w:val="002B5EF2"/>
    <w:rsid w:val="002C186E"/>
    <w:rsid w:val="002C1B43"/>
    <w:rsid w:val="002C3393"/>
    <w:rsid w:val="002C6726"/>
    <w:rsid w:val="002D0251"/>
    <w:rsid w:val="002D152D"/>
    <w:rsid w:val="002D1E95"/>
    <w:rsid w:val="002D30E3"/>
    <w:rsid w:val="002D336E"/>
    <w:rsid w:val="002D63CD"/>
    <w:rsid w:val="002D7740"/>
    <w:rsid w:val="002E012C"/>
    <w:rsid w:val="002E0B02"/>
    <w:rsid w:val="002E13B4"/>
    <w:rsid w:val="002E1DE1"/>
    <w:rsid w:val="002E39B8"/>
    <w:rsid w:val="002E4018"/>
    <w:rsid w:val="002E4C84"/>
    <w:rsid w:val="002E7B1C"/>
    <w:rsid w:val="002F1ED6"/>
    <w:rsid w:val="002F5119"/>
    <w:rsid w:val="00300274"/>
    <w:rsid w:val="00300953"/>
    <w:rsid w:val="003041A6"/>
    <w:rsid w:val="00305296"/>
    <w:rsid w:val="00314A09"/>
    <w:rsid w:val="00314EF8"/>
    <w:rsid w:val="003158F9"/>
    <w:rsid w:val="00321077"/>
    <w:rsid w:val="00322773"/>
    <w:rsid w:val="00322851"/>
    <w:rsid w:val="003231FA"/>
    <w:rsid w:val="00325519"/>
    <w:rsid w:val="00327907"/>
    <w:rsid w:val="00327B53"/>
    <w:rsid w:val="003313BB"/>
    <w:rsid w:val="00331EE6"/>
    <w:rsid w:val="003333B6"/>
    <w:rsid w:val="0033389B"/>
    <w:rsid w:val="00334465"/>
    <w:rsid w:val="0033477E"/>
    <w:rsid w:val="00335EDE"/>
    <w:rsid w:val="003372D5"/>
    <w:rsid w:val="0033751C"/>
    <w:rsid w:val="0034183D"/>
    <w:rsid w:val="00342982"/>
    <w:rsid w:val="00344AF1"/>
    <w:rsid w:val="00345592"/>
    <w:rsid w:val="00347155"/>
    <w:rsid w:val="0034787E"/>
    <w:rsid w:val="00350277"/>
    <w:rsid w:val="0035287E"/>
    <w:rsid w:val="00352CBA"/>
    <w:rsid w:val="00353A90"/>
    <w:rsid w:val="00353F6D"/>
    <w:rsid w:val="00354EA0"/>
    <w:rsid w:val="00357085"/>
    <w:rsid w:val="003571EC"/>
    <w:rsid w:val="003577D8"/>
    <w:rsid w:val="00360F65"/>
    <w:rsid w:val="00362C90"/>
    <w:rsid w:val="003651B6"/>
    <w:rsid w:val="0036615C"/>
    <w:rsid w:val="00366875"/>
    <w:rsid w:val="00366A1D"/>
    <w:rsid w:val="00371385"/>
    <w:rsid w:val="00371891"/>
    <w:rsid w:val="00372905"/>
    <w:rsid w:val="00372B8B"/>
    <w:rsid w:val="00372C52"/>
    <w:rsid w:val="003747BF"/>
    <w:rsid w:val="00382D88"/>
    <w:rsid w:val="003831E2"/>
    <w:rsid w:val="00391339"/>
    <w:rsid w:val="0039357C"/>
    <w:rsid w:val="003944F4"/>
    <w:rsid w:val="0039525E"/>
    <w:rsid w:val="00395558"/>
    <w:rsid w:val="00395D71"/>
    <w:rsid w:val="003961FE"/>
    <w:rsid w:val="00397CA2"/>
    <w:rsid w:val="003A1BB2"/>
    <w:rsid w:val="003A496E"/>
    <w:rsid w:val="003A76E1"/>
    <w:rsid w:val="003A7D64"/>
    <w:rsid w:val="003A7F72"/>
    <w:rsid w:val="003B2CF4"/>
    <w:rsid w:val="003B4096"/>
    <w:rsid w:val="003B5893"/>
    <w:rsid w:val="003B5AD4"/>
    <w:rsid w:val="003C0D57"/>
    <w:rsid w:val="003C0E22"/>
    <w:rsid w:val="003C1087"/>
    <w:rsid w:val="003C276F"/>
    <w:rsid w:val="003C3CB1"/>
    <w:rsid w:val="003C42E1"/>
    <w:rsid w:val="003C4CAC"/>
    <w:rsid w:val="003D03F1"/>
    <w:rsid w:val="003D18DF"/>
    <w:rsid w:val="003D29D6"/>
    <w:rsid w:val="003D4082"/>
    <w:rsid w:val="003D48D2"/>
    <w:rsid w:val="003D56C8"/>
    <w:rsid w:val="003D584A"/>
    <w:rsid w:val="003D5BB4"/>
    <w:rsid w:val="003E1536"/>
    <w:rsid w:val="003E386A"/>
    <w:rsid w:val="003E4458"/>
    <w:rsid w:val="003E6EE0"/>
    <w:rsid w:val="003E7331"/>
    <w:rsid w:val="003F02C3"/>
    <w:rsid w:val="003F09DB"/>
    <w:rsid w:val="003F1C9E"/>
    <w:rsid w:val="003F1E9C"/>
    <w:rsid w:val="003F7457"/>
    <w:rsid w:val="003F7E39"/>
    <w:rsid w:val="003F7ED5"/>
    <w:rsid w:val="004044E3"/>
    <w:rsid w:val="004052C9"/>
    <w:rsid w:val="00410F69"/>
    <w:rsid w:val="00410FB1"/>
    <w:rsid w:val="004123CF"/>
    <w:rsid w:val="00412440"/>
    <w:rsid w:val="0041418B"/>
    <w:rsid w:val="004163A7"/>
    <w:rsid w:val="00416625"/>
    <w:rsid w:val="00416B7C"/>
    <w:rsid w:val="00416E34"/>
    <w:rsid w:val="00416EF3"/>
    <w:rsid w:val="00417BA3"/>
    <w:rsid w:val="0042014A"/>
    <w:rsid w:val="00422898"/>
    <w:rsid w:val="0042388B"/>
    <w:rsid w:val="00424EB2"/>
    <w:rsid w:val="00425493"/>
    <w:rsid w:val="004270C3"/>
    <w:rsid w:val="00431F10"/>
    <w:rsid w:val="004327E0"/>
    <w:rsid w:val="00435136"/>
    <w:rsid w:val="00435410"/>
    <w:rsid w:val="00435728"/>
    <w:rsid w:val="00440733"/>
    <w:rsid w:val="0044079D"/>
    <w:rsid w:val="0044351A"/>
    <w:rsid w:val="0044665F"/>
    <w:rsid w:val="00446E31"/>
    <w:rsid w:val="00450376"/>
    <w:rsid w:val="0045152A"/>
    <w:rsid w:val="00452361"/>
    <w:rsid w:val="00453AFC"/>
    <w:rsid w:val="0045515F"/>
    <w:rsid w:val="00456453"/>
    <w:rsid w:val="00456B13"/>
    <w:rsid w:val="00460043"/>
    <w:rsid w:val="004602F1"/>
    <w:rsid w:val="0046071F"/>
    <w:rsid w:val="00471FF6"/>
    <w:rsid w:val="00475FF4"/>
    <w:rsid w:val="004773EE"/>
    <w:rsid w:val="00477C6D"/>
    <w:rsid w:val="004807CF"/>
    <w:rsid w:val="004810F7"/>
    <w:rsid w:val="00482006"/>
    <w:rsid w:val="00482286"/>
    <w:rsid w:val="00482FA5"/>
    <w:rsid w:val="0048425C"/>
    <w:rsid w:val="004852C5"/>
    <w:rsid w:val="00485958"/>
    <w:rsid w:val="00491CBD"/>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310E"/>
    <w:rsid w:val="004E3A34"/>
    <w:rsid w:val="004F1674"/>
    <w:rsid w:val="004F16B5"/>
    <w:rsid w:val="004F28A8"/>
    <w:rsid w:val="004F340A"/>
    <w:rsid w:val="004F64D8"/>
    <w:rsid w:val="004F727F"/>
    <w:rsid w:val="004F7CF3"/>
    <w:rsid w:val="004F7F32"/>
    <w:rsid w:val="005009D6"/>
    <w:rsid w:val="00502B1B"/>
    <w:rsid w:val="00504E69"/>
    <w:rsid w:val="0050665B"/>
    <w:rsid w:val="005069C8"/>
    <w:rsid w:val="00506DFB"/>
    <w:rsid w:val="00511F65"/>
    <w:rsid w:val="00512121"/>
    <w:rsid w:val="00514127"/>
    <w:rsid w:val="00516C93"/>
    <w:rsid w:val="00522A82"/>
    <w:rsid w:val="00522FD7"/>
    <w:rsid w:val="00523C70"/>
    <w:rsid w:val="00523D72"/>
    <w:rsid w:val="00523EE8"/>
    <w:rsid w:val="00524ADE"/>
    <w:rsid w:val="00525DAA"/>
    <w:rsid w:val="00526F01"/>
    <w:rsid w:val="00527CCB"/>
    <w:rsid w:val="00532A44"/>
    <w:rsid w:val="00532FCE"/>
    <w:rsid w:val="00533368"/>
    <w:rsid w:val="00533411"/>
    <w:rsid w:val="0053431E"/>
    <w:rsid w:val="0053444D"/>
    <w:rsid w:val="005360CC"/>
    <w:rsid w:val="00536167"/>
    <w:rsid w:val="00541D17"/>
    <w:rsid w:val="005458AB"/>
    <w:rsid w:val="00545AC2"/>
    <w:rsid w:val="00545C86"/>
    <w:rsid w:val="00547309"/>
    <w:rsid w:val="00547DDA"/>
    <w:rsid w:val="00550864"/>
    <w:rsid w:val="00551AC0"/>
    <w:rsid w:val="005531E1"/>
    <w:rsid w:val="00554645"/>
    <w:rsid w:val="005616FB"/>
    <w:rsid w:val="00561C25"/>
    <w:rsid w:val="00565D20"/>
    <w:rsid w:val="00566DC9"/>
    <w:rsid w:val="00570558"/>
    <w:rsid w:val="0057380C"/>
    <w:rsid w:val="00575F4D"/>
    <w:rsid w:val="00576059"/>
    <w:rsid w:val="00576B85"/>
    <w:rsid w:val="005800E0"/>
    <w:rsid w:val="00580A3B"/>
    <w:rsid w:val="00580CBF"/>
    <w:rsid w:val="005817B5"/>
    <w:rsid w:val="00581C0E"/>
    <w:rsid w:val="00585B47"/>
    <w:rsid w:val="00593375"/>
    <w:rsid w:val="00594202"/>
    <w:rsid w:val="00595650"/>
    <w:rsid w:val="00597384"/>
    <w:rsid w:val="00597D77"/>
    <w:rsid w:val="005A6C22"/>
    <w:rsid w:val="005A7263"/>
    <w:rsid w:val="005B33BD"/>
    <w:rsid w:val="005B34D0"/>
    <w:rsid w:val="005B4930"/>
    <w:rsid w:val="005C155B"/>
    <w:rsid w:val="005C3C0E"/>
    <w:rsid w:val="005C4470"/>
    <w:rsid w:val="005C70CF"/>
    <w:rsid w:val="005D021C"/>
    <w:rsid w:val="005D0283"/>
    <w:rsid w:val="005D32F0"/>
    <w:rsid w:val="005D40CD"/>
    <w:rsid w:val="005D45B0"/>
    <w:rsid w:val="005D7E97"/>
    <w:rsid w:val="005E21C7"/>
    <w:rsid w:val="005E2E8F"/>
    <w:rsid w:val="005E47AA"/>
    <w:rsid w:val="005E5D88"/>
    <w:rsid w:val="005E66FB"/>
    <w:rsid w:val="005F0E4F"/>
    <w:rsid w:val="005F166F"/>
    <w:rsid w:val="005F212B"/>
    <w:rsid w:val="005F3607"/>
    <w:rsid w:val="005F3D24"/>
    <w:rsid w:val="005F5732"/>
    <w:rsid w:val="005F6AE0"/>
    <w:rsid w:val="005F79C1"/>
    <w:rsid w:val="005F7D67"/>
    <w:rsid w:val="006002EE"/>
    <w:rsid w:val="006017EA"/>
    <w:rsid w:val="00602CFA"/>
    <w:rsid w:val="006044A9"/>
    <w:rsid w:val="006047B4"/>
    <w:rsid w:val="00605113"/>
    <w:rsid w:val="006057CE"/>
    <w:rsid w:val="00610614"/>
    <w:rsid w:val="00610B4F"/>
    <w:rsid w:val="00612D05"/>
    <w:rsid w:val="00621901"/>
    <w:rsid w:val="0062384B"/>
    <w:rsid w:val="006250DB"/>
    <w:rsid w:val="00626D52"/>
    <w:rsid w:val="00627D76"/>
    <w:rsid w:val="00637C51"/>
    <w:rsid w:val="00640FC9"/>
    <w:rsid w:val="00643634"/>
    <w:rsid w:val="00643846"/>
    <w:rsid w:val="00644DC7"/>
    <w:rsid w:val="00645152"/>
    <w:rsid w:val="00645273"/>
    <w:rsid w:val="00645294"/>
    <w:rsid w:val="00645B9C"/>
    <w:rsid w:val="00650238"/>
    <w:rsid w:val="00651F99"/>
    <w:rsid w:val="006520B9"/>
    <w:rsid w:val="0065370A"/>
    <w:rsid w:val="00656DA0"/>
    <w:rsid w:val="00661576"/>
    <w:rsid w:val="00662729"/>
    <w:rsid w:val="00662C33"/>
    <w:rsid w:val="006645A5"/>
    <w:rsid w:val="00664F40"/>
    <w:rsid w:val="006655D4"/>
    <w:rsid w:val="00665CFD"/>
    <w:rsid w:val="00670763"/>
    <w:rsid w:val="00673501"/>
    <w:rsid w:val="00673953"/>
    <w:rsid w:val="00674BA0"/>
    <w:rsid w:val="00675452"/>
    <w:rsid w:val="00676734"/>
    <w:rsid w:val="00680D54"/>
    <w:rsid w:val="00682197"/>
    <w:rsid w:val="00685573"/>
    <w:rsid w:val="00685B58"/>
    <w:rsid w:val="00687C65"/>
    <w:rsid w:val="00690FF0"/>
    <w:rsid w:val="00693DF2"/>
    <w:rsid w:val="00693E8B"/>
    <w:rsid w:val="006950B5"/>
    <w:rsid w:val="006A1211"/>
    <w:rsid w:val="006A3B1E"/>
    <w:rsid w:val="006A64B4"/>
    <w:rsid w:val="006A7EA8"/>
    <w:rsid w:val="006B3010"/>
    <w:rsid w:val="006B41E6"/>
    <w:rsid w:val="006B5071"/>
    <w:rsid w:val="006B55DD"/>
    <w:rsid w:val="006B5783"/>
    <w:rsid w:val="006B6439"/>
    <w:rsid w:val="006B65EF"/>
    <w:rsid w:val="006B6BA4"/>
    <w:rsid w:val="006B726E"/>
    <w:rsid w:val="006C30BC"/>
    <w:rsid w:val="006C3FE4"/>
    <w:rsid w:val="006C4C3B"/>
    <w:rsid w:val="006C632C"/>
    <w:rsid w:val="006D0029"/>
    <w:rsid w:val="006D1AAE"/>
    <w:rsid w:val="006D217D"/>
    <w:rsid w:val="006D21CE"/>
    <w:rsid w:val="006D39C6"/>
    <w:rsid w:val="006D405A"/>
    <w:rsid w:val="006E0BF2"/>
    <w:rsid w:val="006E0D85"/>
    <w:rsid w:val="006E18C0"/>
    <w:rsid w:val="006E2DF0"/>
    <w:rsid w:val="006E3987"/>
    <w:rsid w:val="006E5E44"/>
    <w:rsid w:val="006E6169"/>
    <w:rsid w:val="006E654E"/>
    <w:rsid w:val="006F0DB2"/>
    <w:rsid w:val="006F15F0"/>
    <w:rsid w:val="006F216F"/>
    <w:rsid w:val="006F4AF0"/>
    <w:rsid w:val="006F52B8"/>
    <w:rsid w:val="006F5AB8"/>
    <w:rsid w:val="006F5B3B"/>
    <w:rsid w:val="00700051"/>
    <w:rsid w:val="00700583"/>
    <w:rsid w:val="00701C46"/>
    <w:rsid w:val="00702898"/>
    <w:rsid w:val="00703B0D"/>
    <w:rsid w:val="00703DF9"/>
    <w:rsid w:val="00705ACE"/>
    <w:rsid w:val="00705F58"/>
    <w:rsid w:val="00710574"/>
    <w:rsid w:val="00711265"/>
    <w:rsid w:val="00712798"/>
    <w:rsid w:val="00713C60"/>
    <w:rsid w:val="00713FD3"/>
    <w:rsid w:val="007162C5"/>
    <w:rsid w:val="007178AA"/>
    <w:rsid w:val="00720F63"/>
    <w:rsid w:val="007222C1"/>
    <w:rsid w:val="00724B3C"/>
    <w:rsid w:val="00725282"/>
    <w:rsid w:val="007266E9"/>
    <w:rsid w:val="007312E2"/>
    <w:rsid w:val="00731486"/>
    <w:rsid w:val="007314BF"/>
    <w:rsid w:val="00736E61"/>
    <w:rsid w:val="007378E1"/>
    <w:rsid w:val="007425B5"/>
    <w:rsid w:val="007442CF"/>
    <w:rsid w:val="007443D6"/>
    <w:rsid w:val="007445E5"/>
    <w:rsid w:val="00747935"/>
    <w:rsid w:val="00751347"/>
    <w:rsid w:val="007545AD"/>
    <w:rsid w:val="00756472"/>
    <w:rsid w:val="007568D6"/>
    <w:rsid w:val="00756F6E"/>
    <w:rsid w:val="007576EA"/>
    <w:rsid w:val="00757E70"/>
    <w:rsid w:val="00761625"/>
    <w:rsid w:val="00761AE2"/>
    <w:rsid w:val="00765A2C"/>
    <w:rsid w:val="007669FB"/>
    <w:rsid w:val="007716BF"/>
    <w:rsid w:val="007732ED"/>
    <w:rsid w:val="00775451"/>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3547"/>
    <w:rsid w:val="007B42A0"/>
    <w:rsid w:val="007B4723"/>
    <w:rsid w:val="007B635D"/>
    <w:rsid w:val="007C08D6"/>
    <w:rsid w:val="007C35F0"/>
    <w:rsid w:val="007C4473"/>
    <w:rsid w:val="007C4B32"/>
    <w:rsid w:val="007C4C84"/>
    <w:rsid w:val="007C4CCC"/>
    <w:rsid w:val="007C598B"/>
    <w:rsid w:val="007C6AEC"/>
    <w:rsid w:val="007C6AEE"/>
    <w:rsid w:val="007C71AF"/>
    <w:rsid w:val="007D162A"/>
    <w:rsid w:val="007D4A30"/>
    <w:rsid w:val="007D526F"/>
    <w:rsid w:val="007D7003"/>
    <w:rsid w:val="007D71B0"/>
    <w:rsid w:val="007E0E52"/>
    <w:rsid w:val="007E5517"/>
    <w:rsid w:val="007E60AC"/>
    <w:rsid w:val="007E60F3"/>
    <w:rsid w:val="007E699C"/>
    <w:rsid w:val="007F07C0"/>
    <w:rsid w:val="007F0B41"/>
    <w:rsid w:val="007F121B"/>
    <w:rsid w:val="007F3E85"/>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D14"/>
    <w:rsid w:val="00825DC8"/>
    <w:rsid w:val="008278E7"/>
    <w:rsid w:val="0083100E"/>
    <w:rsid w:val="0083157A"/>
    <w:rsid w:val="0083218E"/>
    <w:rsid w:val="008322BB"/>
    <w:rsid w:val="008334B6"/>
    <w:rsid w:val="00833770"/>
    <w:rsid w:val="00837FE4"/>
    <w:rsid w:val="0084017C"/>
    <w:rsid w:val="0084188C"/>
    <w:rsid w:val="008422EC"/>
    <w:rsid w:val="00842DCC"/>
    <w:rsid w:val="00843F81"/>
    <w:rsid w:val="00844F4E"/>
    <w:rsid w:val="00845A8A"/>
    <w:rsid w:val="00846ABB"/>
    <w:rsid w:val="008513F2"/>
    <w:rsid w:val="00853C7E"/>
    <w:rsid w:val="00856241"/>
    <w:rsid w:val="00857148"/>
    <w:rsid w:val="008572EC"/>
    <w:rsid w:val="00861812"/>
    <w:rsid w:val="00861F62"/>
    <w:rsid w:val="0086332E"/>
    <w:rsid w:val="0086408F"/>
    <w:rsid w:val="008653A6"/>
    <w:rsid w:val="00866615"/>
    <w:rsid w:val="00872606"/>
    <w:rsid w:val="008729B4"/>
    <w:rsid w:val="00873229"/>
    <w:rsid w:val="008736AE"/>
    <w:rsid w:val="00874F93"/>
    <w:rsid w:val="00881001"/>
    <w:rsid w:val="00882397"/>
    <w:rsid w:val="00883B8D"/>
    <w:rsid w:val="00885158"/>
    <w:rsid w:val="0089036D"/>
    <w:rsid w:val="008906C3"/>
    <w:rsid w:val="008920B4"/>
    <w:rsid w:val="0089301F"/>
    <w:rsid w:val="008959AA"/>
    <w:rsid w:val="008A0622"/>
    <w:rsid w:val="008A150B"/>
    <w:rsid w:val="008A4634"/>
    <w:rsid w:val="008A6349"/>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D6A"/>
    <w:rsid w:val="008D3E30"/>
    <w:rsid w:val="008D3F9E"/>
    <w:rsid w:val="008D44C5"/>
    <w:rsid w:val="008E1A31"/>
    <w:rsid w:val="008E21DF"/>
    <w:rsid w:val="008E6979"/>
    <w:rsid w:val="008E6D2A"/>
    <w:rsid w:val="008E7DDC"/>
    <w:rsid w:val="008F0630"/>
    <w:rsid w:val="008F1528"/>
    <w:rsid w:val="008F3037"/>
    <w:rsid w:val="008F6E4E"/>
    <w:rsid w:val="008F71D2"/>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36C51"/>
    <w:rsid w:val="00946450"/>
    <w:rsid w:val="009473D2"/>
    <w:rsid w:val="0095118F"/>
    <w:rsid w:val="00954998"/>
    <w:rsid w:val="0095756F"/>
    <w:rsid w:val="00960D55"/>
    <w:rsid w:val="00961282"/>
    <w:rsid w:val="00964301"/>
    <w:rsid w:val="009677D4"/>
    <w:rsid w:val="009708B8"/>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3211"/>
    <w:rsid w:val="009A364B"/>
    <w:rsid w:val="009A6CA7"/>
    <w:rsid w:val="009A6ED8"/>
    <w:rsid w:val="009A6F26"/>
    <w:rsid w:val="009A712D"/>
    <w:rsid w:val="009A7284"/>
    <w:rsid w:val="009B05DF"/>
    <w:rsid w:val="009B158B"/>
    <w:rsid w:val="009B1BF7"/>
    <w:rsid w:val="009B3A72"/>
    <w:rsid w:val="009B491D"/>
    <w:rsid w:val="009B75F5"/>
    <w:rsid w:val="009C0E73"/>
    <w:rsid w:val="009C1D22"/>
    <w:rsid w:val="009C1F89"/>
    <w:rsid w:val="009C2197"/>
    <w:rsid w:val="009C2B94"/>
    <w:rsid w:val="009C2DB4"/>
    <w:rsid w:val="009C4F0C"/>
    <w:rsid w:val="009D0B9A"/>
    <w:rsid w:val="009D0F44"/>
    <w:rsid w:val="009D37EA"/>
    <w:rsid w:val="009D5179"/>
    <w:rsid w:val="009D67AC"/>
    <w:rsid w:val="009D79CA"/>
    <w:rsid w:val="009E03A8"/>
    <w:rsid w:val="009E3915"/>
    <w:rsid w:val="009F0603"/>
    <w:rsid w:val="009F090B"/>
    <w:rsid w:val="009F17E9"/>
    <w:rsid w:val="009F23E7"/>
    <w:rsid w:val="009F3AF9"/>
    <w:rsid w:val="009F40B9"/>
    <w:rsid w:val="009F50BF"/>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464A"/>
    <w:rsid w:val="00A45342"/>
    <w:rsid w:val="00A45622"/>
    <w:rsid w:val="00A46A07"/>
    <w:rsid w:val="00A538B0"/>
    <w:rsid w:val="00A547F7"/>
    <w:rsid w:val="00A54B77"/>
    <w:rsid w:val="00A55084"/>
    <w:rsid w:val="00A558DB"/>
    <w:rsid w:val="00A561E7"/>
    <w:rsid w:val="00A566C7"/>
    <w:rsid w:val="00A57F03"/>
    <w:rsid w:val="00A60385"/>
    <w:rsid w:val="00A60B5B"/>
    <w:rsid w:val="00A626B1"/>
    <w:rsid w:val="00A67A12"/>
    <w:rsid w:val="00A70041"/>
    <w:rsid w:val="00A7091D"/>
    <w:rsid w:val="00A72176"/>
    <w:rsid w:val="00A72D12"/>
    <w:rsid w:val="00A758BF"/>
    <w:rsid w:val="00A75D6F"/>
    <w:rsid w:val="00A7606E"/>
    <w:rsid w:val="00A763D9"/>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60C7"/>
    <w:rsid w:val="00AB649D"/>
    <w:rsid w:val="00AC5A93"/>
    <w:rsid w:val="00AC71E4"/>
    <w:rsid w:val="00AC73A7"/>
    <w:rsid w:val="00AD1743"/>
    <w:rsid w:val="00AD2931"/>
    <w:rsid w:val="00AD2A3E"/>
    <w:rsid w:val="00AD2CBE"/>
    <w:rsid w:val="00AD3B9C"/>
    <w:rsid w:val="00AD4A97"/>
    <w:rsid w:val="00AD55FF"/>
    <w:rsid w:val="00AD5D12"/>
    <w:rsid w:val="00AD6280"/>
    <w:rsid w:val="00AD6894"/>
    <w:rsid w:val="00AE3B16"/>
    <w:rsid w:val="00AE3E5B"/>
    <w:rsid w:val="00AE6EA2"/>
    <w:rsid w:val="00AE6F48"/>
    <w:rsid w:val="00AE7E82"/>
    <w:rsid w:val="00AF0717"/>
    <w:rsid w:val="00AF1A39"/>
    <w:rsid w:val="00AF1B5E"/>
    <w:rsid w:val="00AF22EE"/>
    <w:rsid w:val="00AF38F7"/>
    <w:rsid w:val="00AF45C0"/>
    <w:rsid w:val="00AF4C29"/>
    <w:rsid w:val="00AF69D0"/>
    <w:rsid w:val="00AF7995"/>
    <w:rsid w:val="00B012E2"/>
    <w:rsid w:val="00B03344"/>
    <w:rsid w:val="00B03990"/>
    <w:rsid w:val="00B04E17"/>
    <w:rsid w:val="00B059BB"/>
    <w:rsid w:val="00B05A70"/>
    <w:rsid w:val="00B0600C"/>
    <w:rsid w:val="00B065CC"/>
    <w:rsid w:val="00B06844"/>
    <w:rsid w:val="00B07168"/>
    <w:rsid w:val="00B071CB"/>
    <w:rsid w:val="00B12254"/>
    <w:rsid w:val="00B12A6B"/>
    <w:rsid w:val="00B13D2D"/>
    <w:rsid w:val="00B17587"/>
    <w:rsid w:val="00B177A9"/>
    <w:rsid w:val="00B21287"/>
    <w:rsid w:val="00B23C0B"/>
    <w:rsid w:val="00B250FA"/>
    <w:rsid w:val="00B25DB6"/>
    <w:rsid w:val="00B330E9"/>
    <w:rsid w:val="00B34C64"/>
    <w:rsid w:val="00B34F04"/>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192"/>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0D87"/>
    <w:rsid w:val="00BC1D27"/>
    <w:rsid w:val="00BC3386"/>
    <w:rsid w:val="00BC507E"/>
    <w:rsid w:val="00BC54C7"/>
    <w:rsid w:val="00BC6452"/>
    <w:rsid w:val="00BD079C"/>
    <w:rsid w:val="00BD3296"/>
    <w:rsid w:val="00BD40B9"/>
    <w:rsid w:val="00BD5347"/>
    <w:rsid w:val="00BD6EE2"/>
    <w:rsid w:val="00BE0FB1"/>
    <w:rsid w:val="00BE1E01"/>
    <w:rsid w:val="00BE209C"/>
    <w:rsid w:val="00BE31E1"/>
    <w:rsid w:val="00BE411E"/>
    <w:rsid w:val="00BE7F30"/>
    <w:rsid w:val="00BF1FA2"/>
    <w:rsid w:val="00BF374C"/>
    <w:rsid w:val="00BF48C3"/>
    <w:rsid w:val="00C007BD"/>
    <w:rsid w:val="00C00AC5"/>
    <w:rsid w:val="00C00C7E"/>
    <w:rsid w:val="00C02089"/>
    <w:rsid w:val="00C0383E"/>
    <w:rsid w:val="00C149AA"/>
    <w:rsid w:val="00C20145"/>
    <w:rsid w:val="00C21339"/>
    <w:rsid w:val="00C217C7"/>
    <w:rsid w:val="00C232C3"/>
    <w:rsid w:val="00C2547C"/>
    <w:rsid w:val="00C27B94"/>
    <w:rsid w:val="00C31F21"/>
    <w:rsid w:val="00C346EC"/>
    <w:rsid w:val="00C36FBD"/>
    <w:rsid w:val="00C40EDA"/>
    <w:rsid w:val="00C421A9"/>
    <w:rsid w:val="00C421F8"/>
    <w:rsid w:val="00C42F19"/>
    <w:rsid w:val="00C4676C"/>
    <w:rsid w:val="00C511F9"/>
    <w:rsid w:val="00C51D56"/>
    <w:rsid w:val="00C55A57"/>
    <w:rsid w:val="00C56A4F"/>
    <w:rsid w:val="00C57088"/>
    <w:rsid w:val="00C5722A"/>
    <w:rsid w:val="00C62C2D"/>
    <w:rsid w:val="00C630A0"/>
    <w:rsid w:val="00C636C7"/>
    <w:rsid w:val="00C65013"/>
    <w:rsid w:val="00C6632D"/>
    <w:rsid w:val="00C70160"/>
    <w:rsid w:val="00C7275D"/>
    <w:rsid w:val="00C74142"/>
    <w:rsid w:val="00C762CB"/>
    <w:rsid w:val="00C77791"/>
    <w:rsid w:val="00C81187"/>
    <w:rsid w:val="00C8217C"/>
    <w:rsid w:val="00C8418D"/>
    <w:rsid w:val="00C84281"/>
    <w:rsid w:val="00C843C2"/>
    <w:rsid w:val="00C84A0C"/>
    <w:rsid w:val="00C85432"/>
    <w:rsid w:val="00C87155"/>
    <w:rsid w:val="00C87B29"/>
    <w:rsid w:val="00C90626"/>
    <w:rsid w:val="00C91471"/>
    <w:rsid w:val="00C92DEF"/>
    <w:rsid w:val="00C94E50"/>
    <w:rsid w:val="00C96FB5"/>
    <w:rsid w:val="00C97045"/>
    <w:rsid w:val="00C973CB"/>
    <w:rsid w:val="00CA10C8"/>
    <w:rsid w:val="00CA1BB9"/>
    <w:rsid w:val="00CA4CF1"/>
    <w:rsid w:val="00CA576C"/>
    <w:rsid w:val="00CA66D6"/>
    <w:rsid w:val="00CA6F0F"/>
    <w:rsid w:val="00CA75CB"/>
    <w:rsid w:val="00CA77F2"/>
    <w:rsid w:val="00CB323A"/>
    <w:rsid w:val="00CB376F"/>
    <w:rsid w:val="00CB5986"/>
    <w:rsid w:val="00CB5E15"/>
    <w:rsid w:val="00CC1DE2"/>
    <w:rsid w:val="00CC483D"/>
    <w:rsid w:val="00CC5851"/>
    <w:rsid w:val="00CD1DD9"/>
    <w:rsid w:val="00CD2508"/>
    <w:rsid w:val="00CD2EE1"/>
    <w:rsid w:val="00CD3256"/>
    <w:rsid w:val="00CD49A5"/>
    <w:rsid w:val="00CD54B9"/>
    <w:rsid w:val="00CD5CE9"/>
    <w:rsid w:val="00CD6404"/>
    <w:rsid w:val="00CE2B12"/>
    <w:rsid w:val="00CF29B0"/>
    <w:rsid w:val="00CF465B"/>
    <w:rsid w:val="00CF4F2F"/>
    <w:rsid w:val="00CF5AD5"/>
    <w:rsid w:val="00CF6773"/>
    <w:rsid w:val="00CF6FA4"/>
    <w:rsid w:val="00D00CC3"/>
    <w:rsid w:val="00D00FE6"/>
    <w:rsid w:val="00D01741"/>
    <w:rsid w:val="00D01873"/>
    <w:rsid w:val="00D03B80"/>
    <w:rsid w:val="00D07853"/>
    <w:rsid w:val="00D109AA"/>
    <w:rsid w:val="00D116D1"/>
    <w:rsid w:val="00D120DA"/>
    <w:rsid w:val="00D1357B"/>
    <w:rsid w:val="00D14B16"/>
    <w:rsid w:val="00D15F6A"/>
    <w:rsid w:val="00D17F28"/>
    <w:rsid w:val="00D20364"/>
    <w:rsid w:val="00D217F6"/>
    <w:rsid w:val="00D2740A"/>
    <w:rsid w:val="00D3070C"/>
    <w:rsid w:val="00D3151B"/>
    <w:rsid w:val="00D31BF3"/>
    <w:rsid w:val="00D32A81"/>
    <w:rsid w:val="00D362D5"/>
    <w:rsid w:val="00D40FB7"/>
    <w:rsid w:val="00D419D2"/>
    <w:rsid w:val="00D421C8"/>
    <w:rsid w:val="00D438C1"/>
    <w:rsid w:val="00D46E85"/>
    <w:rsid w:val="00D50420"/>
    <w:rsid w:val="00D50A64"/>
    <w:rsid w:val="00D51659"/>
    <w:rsid w:val="00D51B5B"/>
    <w:rsid w:val="00D51F65"/>
    <w:rsid w:val="00D53B8C"/>
    <w:rsid w:val="00D557D5"/>
    <w:rsid w:val="00D56AE6"/>
    <w:rsid w:val="00D57A86"/>
    <w:rsid w:val="00D57C5D"/>
    <w:rsid w:val="00D606A2"/>
    <w:rsid w:val="00D6217B"/>
    <w:rsid w:val="00D621FC"/>
    <w:rsid w:val="00D62E08"/>
    <w:rsid w:val="00D64F70"/>
    <w:rsid w:val="00D65D41"/>
    <w:rsid w:val="00D70E44"/>
    <w:rsid w:val="00D74162"/>
    <w:rsid w:val="00D74510"/>
    <w:rsid w:val="00D8055A"/>
    <w:rsid w:val="00D80755"/>
    <w:rsid w:val="00D8177F"/>
    <w:rsid w:val="00D826FE"/>
    <w:rsid w:val="00D834B1"/>
    <w:rsid w:val="00D90E3C"/>
    <w:rsid w:val="00D92B65"/>
    <w:rsid w:val="00D94C0D"/>
    <w:rsid w:val="00D96004"/>
    <w:rsid w:val="00D96068"/>
    <w:rsid w:val="00D96D9C"/>
    <w:rsid w:val="00D97A8D"/>
    <w:rsid w:val="00DA198B"/>
    <w:rsid w:val="00DA20FA"/>
    <w:rsid w:val="00DA2D3C"/>
    <w:rsid w:val="00DA5653"/>
    <w:rsid w:val="00DA7998"/>
    <w:rsid w:val="00DB01EE"/>
    <w:rsid w:val="00DB1A82"/>
    <w:rsid w:val="00DB2B57"/>
    <w:rsid w:val="00DB2C47"/>
    <w:rsid w:val="00DB2FF6"/>
    <w:rsid w:val="00DB3CC3"/>
    <w:rsid w:val="00DB4F75"/>
    <w:rsid w:val="00DB5882"/>
    <w:rsid w:val="00DB63E2"/>
    <w:rsid w:val="00DC07C6"/>
    <w:rsid w:val="00DC1A39"/>
    <w:rsid w:val="00DC251F"/>
    <w:rsid w:val="00DC3DDE"/>
    <w:rsid w:val="00DC493F"/>
    <w:rsid w:val="00DC575A"/>
    <w:rsid w:val="00DC5D15"/>
    <w:rsid w:val="00DD0F8F"/>
    <w:rsid w:val="00DD1FCD"/>
    <w:rsid w:val="00DD3176"/>
    <w:rsid w:val="00DD4300"/>
    <w:rsid w:val="00DD5147"/>
    <w:rsid w:val="00DD53EB"/>
    <w:rsid w:val="00DD62ED"/>
    <w:rsid w:val="00DD6FC4"/>
    <w:rsid w:val="00DE2F0E"/>
    <w:rsid w:val="00DE3134"/>
    <w:rsid w:val="00DE3FB0"/>
    <w:rsid w:val="00DE53FA"/>
    <w:rsid w:val="00DE5507"/>
    <w:rsid w:val="00DF2FA9"/>
    <w:rsid w:val="00DF32C7"/>
    <w:rsid w:val="00DF5BDB"/>
    <w:rsid w:val="00DF6806"/>
    <w:rsid w:val="00DF7862"/>
    <w:rsid w:val="00E005EA"/>
    <w:rsid w:val="00E012B7"/>
    <w:rsid w:val="00E014CA"/>
    <w:rsid w:val="00E03F69"/>
    <w:rsid w:val="00E04556"/>
    <w:rsid w:val="00E04E92"/>
    <w:rsid w:val="00E1015A"/>
    <w:rsid w:val="00E109D5"/>
    <w:rsid w:val="00E110EF"/>
    <w:rsid w:val="00E1644E"/>
    <w:rsid w:val="00E25520"/>
    <w:rsid w:val="00E26ADD"/>
    <w:rsid w:val="00E303CE"/>
    <w:rsid w:val="00E304A0"/>
    <w:rsid w:val="00E30808"/>
    <w:rsid w:val="00E30ECB"/>
    <w:rsid w:val="00E32AA6"/>
    <w:rsid w:val="00E33260"/>
    <w:rsid w:val="00E33C1C"/>
    <w:rsid w:val="00E35A54"/>
    <w:rsid w:val="00E35B9B"/>
    <w:rsid w:val="00E35DC2"/>
    <w:rsid w:val="00E42172"/>
    <w:rsid w:val="00E4347C"/>
    <w:rsid w:val="00E441BE"/>
    <w:rsid w:val="00E45490"/>
    <w:rsid w:val="00E46EAB"/>
    <w:rsid w:val="00E50E6E"/>
    <w:rsid w:val="00E5269D"/>
    <w:rsid w:val="00E52BED"/>
    <w:rsid w:val="00E5379D"/>
    <w:rsid w:val="00E537B5"/>
    <w:rsid w:val="00E5399F"/>
    <w:rsid w:val="00E60049"/>
    <w:rsid w:val="00E6115F"/>
    <w:rsid w:val="00E620D2"/>
    <w:rsid w:val="00E622F6"/>
    <w:rsid w:val="00E62ED3"/>
    <w:rsid w:val="00E632A7"/>
    <w:rsid w:val="00E654F5"/>
    <w:rsid w:val="00E676C8"/>
    <w:rsid w:val="00E678FA"/>
    <w:rsid w:val="00E67B78"/>
    <w:rsid w:val="00E70117"/>
    <w:rsid w:val="00E721E1"/>
    <w:rsid w:val="00E74BDB"/>
    <w:rsid w:val="00E75605"/>
    <w:rsid w:val="00E75BBE"/>
    <w:rsid w:val="00E77CD7"/>
    <w:rsid w:val="00E84428"/>
    <w:rsid w:val="00E84E0F"/>
    <w:rsid w:val="00E90E73"/>
    <w:rsid w:val="00E91A2A"/>
    <w:rsid w:val="00E925EC"/>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56D9"/>
    <w:rsid w:val="00EB5D95"/>
    <w:rsid w:val="00EB70FC"/>
    <w:rsid w:val="00EB790B"/>
    <w:rsid w:val="00EB7BDA"/>
    <w:rsid w:val="00EC3871"/>
    <w:rsid w:val="00EC3D33"/>
    <w:rsid w:val="00EC418F"/>
    <w:rsid w:val="00EC4BC6"/>
    <w:rsid w:val="00EC4DE3"/>
    <w:rsid w:val="00EC529A"/>
    <w:rsid w:val="00ED0B50"/>
    <w:rsid w:val="00ED0B7A"/>
    <w:rsid w:val="00ED190E"/>
    <w:rsid w:val="00ED3CEA"/>
    <w:rsid w:val="00ED70A3"/>
    <w:rsid w:val="00EE161D"/>
    <w:rsid w:val="00EE3272"/>
    <w:rsid w:val="00EE342E"/>
    <w:rsid w:val="00EE379D"/>
    <w:rsid w:val="00EE37BF"/>
    <w:rsid w:val="00EF1753"/>
    <w:rsid w:val="00EF19CC"/>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493"/>
    <w:rsid w:val="00F12928"/>
    <w:rsid w:val="00F13538"/>
    <w:rsid w:val="00F17218"/>
    <w:rsid w:val="00F1732E"/>
    <w:rsid w:val="00F23889"/>
    <w:rsid w:val="00F2444F"/>
    <w:rsid w:val="00F30D00"/>
    <w:rsid w:val="00F31506"/>
    <w:rsid w:val="00F32081"/>
    <w:rsid w:val="00F3329A"/>
    <w:rsid w:val="00F3366C"/>
    <w:rsid w:val="00F33BEC"/>
    <w:rsid w:val="00F33EE2"/>
    <w:rsid w:val="00F344C6"/>
    <w:rsid w:val="00F378C5"/>
    <w:rsid w:val="00F37E48"/>
    <w:rsid w:val="00F41ABD"/>
    <w:rsid w:val="00F45E93"/>
    <w:rsid w:val="00F5085B"/>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572D"/>
    <w:rsid w:val="00F7695F"/>
    <w:rsid w:val="00F76D51"/>
    <w:rsid w:val="00F80FBC"/>
    <w:rsid w:val="00F83007"/>
    <w:rsid w:val="00F9202D"/>
    <w:rsid w:val="00F949C9"/>
    <w:rsid w:val="00F97F91"/>
    <w:rsid w:val="00FA069B"/>
    <w:rsid w:val="00FA6FF6"/>
    <w:rsid w:val="00FA7BEC"/>
    <w:rsid w:val="00FA7E08"/>
    <w:rsid w:val="00FB0349"/>
    <w:rsid w:val="00FB14C7"/>
    <w:rsid w:val="00FB1B95"/>
    <w:rsid w:val="00FB1F3D"/>
    <w:rsid w:val="00FB361A"/>
    <w:rsid w:val="00FB7B7B"/>
    <w:rsid w:val="00FC0299"/>
    <w:rsid w:val="00FC0A8F"/>
    <w:rsid w:val="00FC2319"/>
    <w:rsid w:val="00FC4295"/>
    <w:rsid w:val="00FC7A25"/>
    <w:rsid w:val="00FD0EE2"/>
    <w:rsid w:val="00FD2D21"/>
    <w:rsid w:val="00FD4BD9"/>
    <w:rsid w:val="00FD4D2A"/>
    <w:rsid w:val="00FD65A3"/>
    <w:rsid w:val="00FD6817"/>
    <w:rsid w:val="00FD6C75"/>
    <w:rsid w:val="00FE494A"/>
    <w:rsid w:val="00FF0F9F"/>
    <w:rsid w:val="00FF2D39"/>
    <w:rsid w:val="00FF359F"/>
    <w:rsid w:val="00FF3D2C"/>
    <w:rsid w:val="00FF3D6C"/>
    <w:rsid w:val="00FF5128"/>
    <w:rsid w:val="00FF5C25"/>
    <w:rsid w:val="00FF6186"/>
    <w:rsid w:val="01652237"/>
    <w:rsid w:val="01881933"/>
    <w:rsid w:val="01A2719B"/>
    <w:rsid w:val="01AF2C21"/>
    <w:rsid w:val="02F33301"/>
    <w:rsid w:val="02FD4E76"/>
    <w:rsid w:val="03012A46"/>
    <w:rsid w:val="035F6345"/>
    <w:rsid w:val="036C34DA"/>
    <w:rsid w:val="03D355F0"/>
    <w:rsid w:val="03FA629B"/>
    <w:rsid w:val="05011011"/>
    <w:rsid w:val="053E62C7"/>
    <w:rsid w:val="05BF33B5"/>
    <w:rsid w:val="061F198A"/>
    <w:rsid w:val="076B4827"/>
    <w:rsid w:val="08FD0B6A"/>
    <w:rsid w:val="09025574"/>
    <w:rsid w:val="095B20FD"/>
    <w:rsid w:val="09CA2B9E"/>
    <w:rsid w:val="09F87FE5"/>
    <w:rsid w:val="0A8C7360"/>
    <w:rsid w:val="0B2B537E"/>
    <w:rsid w:val="0C6241B2"/>
    <w:rsid w:val="0CA12720"/>
    <w:rsid w:val="0CA911C7"/>
    <w:rsid w:val="0D2B4E23"/>
    <w:rsid w:val="0E2061B7"/>
    <w:rsid w:val="0E876D2F"/>
    <w:rsid w:val="0EC82FD7"/>
    <w:rsid w:val="0FB34554"/>
    <w:rsid w:val="10181623"/>
    <w:rsid w:val="107930BF"/>
    <w:rsid w:val="107A6B7C"/>
    <w:rsid w:val="107E735A"/>
    <w:rsid w:val="10D97CD5"/>
    <w:rsid w:val="124C3C1F"/>
    <w:rsid w:val="12A820AD"/>
    <w:rsid w:val="13377E0F"/>
    <w:rsid w:val="136441CE"/>
    <w:rsid w:val="13945E07"/>
    <w:rsid w:val="15737884"/>
    <w:rsid w:val="15750C31"/>
    <w:rsid w:val="16B948A5"/>
    <w:rsid w:val="17211B14"/>
    <w:rsid w:val="17D86D23"/>
    <w:rsid w:val="17F4775E"/>
    <w:rsid w:val="18AF15FD"/>
    <w:rsid w:val="18F44CAE"/>
    <w:rsid w:val="199974CA"/>
    <w:rsid w:val="19E94006"/>
    <w:rsid w:val="1ACA153B"/>
    <w:rsid w:val="1BBF797C"/>
    <w:rsid w:val="1BD8798C"/>
    <w:rsid w:val="1C055E22"/>
    <w:rsid w:val="1DB63303"/>
    <w:rsid w:val="1DE26149"/>
    <w:rsid w:val="1DEE2CCA"/>
    <w:rsid w:val="1EB92EF2"/>
    <w:rsid w:val="1F17125C"/>
    <w:rsid w:val="1FAB30E7"/>
    <w:rsid w:val="2037683E"/>
    <w:rsid w:val="204227BB"/>
    <w:rsid w:val="20615234"/>
    <w:rsid w:val="20637B7A"/>
    <w:rsid w:val="20BB5045"/>
    <w:rsid w:val="21115412"/>
    <w:rsid w:val="21A61884"/>
    <w:rsid w:val="221B22F9"/>
    <w:rsid w:val="221D09FC"/>
    <w:rsid w:val="228E7281"/>
    <w:rsid w:val="22F91AE6"/>
    <w:rsid w:val="24364EC4"/>
    <w:rsid w:val="25590EC9"/>
    <w:rsid w:val="257F4BF0"/>
    <w:rsid w:val="25917440"/>
    <w:rsid w:val="25A13254"/>
    <w:rsid w:val="262F357C"/>
    <w:rsid w:val="2659211B"/>
    <w:rsid w:val="26653D1D"/>
    <w:rsid w:val="266C56F3"/>
    <w:rsid w:val="2680697D"/>
    <w:rsid w:val="26A26CEB"/>
    <w:rsid w:val="27235E7D"/>
    <w:rsid w:val="276F4E38"/>
    <w:rsid w:val="2834446C"/>
    <w:rsid w:val="28B84042"/>
    <w:rsid w:val="29864C3F"/>
    <w:rsid w:val="299D4A4C"/>
    <w:rsid w:val="2A1902C2"/>
    <w:rsid w:val="2C6224E4"/>
    <w:rsid w:val="2C995D0F"/>
    <w:rsid w:val="2D3E7816"/>
    <w:rsid w:val="2D7846FA"/>
    <w:rsid w:val="2DC36D5F"/>
    <w:rsid w:val="2F2E5F52"/>
    <w:rsid w:val="2F3E6548"/>
    <w:rsid w:val="2FF670DA"/>
    <w:rsid w:val="30481183"/>
    <w:rsid w:val="30D974B7"/>
    <w:rsid w:val="31E01407"/>
    <w:rsid w:val="325F16D7"/>
    <w:rsid w:val="32AD73EB"/>
    <w:rsid w:val="333663C1"/>
    <w:rsid w:val="34375693"/>
    <w:rsid w:val="345F01FB"/>
    <w:rsid w:val="346848DB"/>
    <w:rsid w:val="351E319F"/>
    <w:rsid w:val="35482753"/>
    <w:rsid w:val="354F3A99"/>
    <w:rsid w:val="357B16F3"/>
    <w:rsid w:val="36050FAB"/>
    <w:rsid w:val="364A4B51"/>
    <w:rsid w:val="367176A6"/>
    <w:rsid w:val="36A24328"/>
    <w:rsid w:val="36DC6FE4"/>
    <w:rsid w:val="37000B19"/>
    <w:rsid w:val="385E4AD7"/>
    <w:rsid w:val="39DE0DD6"/>
    <w:rsid w:val="3A076D9E"/>
    <w:rsid w:val="3A3173ED"/>
    <w:rsid w:val="3B076549"/>
    <w:rsid w:val="3B0A4DAB"/>
    <w:rsid w:val="3B82173E"/>
    <w:rsid w:val="3C5B75D3"/>
    <w:rsid w:val="3C7823C8"/>
    <w:rsid w:val="3CA42746"/>
    <w:rsid w:val="3D691AD5"/>
    <w:rsid w:val="3DCC4487"/>
    <w:rsid w:val="3DCD4AA7"/>
    <w:rsid w:val="3E474521"/>
    <w:rsid w:val="3E583AD2"/>
    <w:rsid w:val="3E833713"/>
    <w:rsid w:val="3EAD617A"/>
    <w:rsid w:val="3FD0292A"/>
    <w:rsid w:val="3FF77603"/>
    <w:rsid w:val="404F30BF"/>
    <w:rsid w:val="40DB38C9"/>
    <w:rsid w:val="413C763F"/>
    <w:rsid w:val="41B14926"/>
    <w:rsid w:val="41B46B47"/>
    <w:rsid w:val="41DA5117"/>
    <w:rsid w:val="424B79E0"/>
    <w:rsid w:val="425704D3"/>
    <w:rsid w:val="42FA2D1F"/>
    <w:rsid w:val="434963F7"/>
    <w:rsid w:val="436B2C00"/>
    <w:rsid w:val="439F612A"/>
    <w:rsid w:val="441344E9"/>
    <w:rsid w:val="444569BF"/>
    <w:rsid w:val="44842956"/>
    <w:rsid w:val="44B922E9"/>
    <w:rsid w:val="45086E27"/>
    <w:rsid w:val="465E02D2"/>
    <w:rsid w:val="48120ABB"/>
    <w:rsid w:val="4855725D"/>
    <w:rsid w:val="48FC1957"/>
    <w:rsid w:val="499D4ACB"/>
    <w:rsid w:val="4AED5A83"/>
    <w:rsid w:val="4BC1413C"/>
    <w:rsid w:val="4C656785"/>
    <w:rsid w:val="4DFA18E0"/>
    <w:rsid w:val="4DFD24AF"/>
    <w:rsid w:val="4E4A7541"/>
    <w:rsid w:val="4E822997"/>
    <w:rsid w:val="4ED20DFA"/>
    <w:rsid w:val="4F0F5DA2"/>
    <w:rsid w:val="4F397E6D"/>
    <w:rsid w:val="4FBF4158"/>
    <w:rsid w:val="4FFE0E94"/>
    <w:rsid w:val="504C2BE7"/>
    <w:rsid w:val="51174B5C"/>
    <w:rsid w:val="51B50E5A"/>
    <w:rsid w:val="525C4A73"/>
    <w:rsid w:val="53384EC9"/>
    <w:rsid w:val="54285E4C"/>
    <w:rsid w:val="55306CD3"/>
    <w:rsid w:val="554830C1"/>
    <w:rsid w:val="56300F3A"/>
    <w:rsid w:val="56393E37"/>
    <w:rsid w:val="56B4262E"/>
    <w:rsid w:val="56F55D35"/>
    <w:rsid w:val="57C94BFF"/>
    <w:rsid w:val="5807041D"/>
    <w:rsid w:val="583F79D3"/>
    <w:rsid w:val="58691989"/>
    <w:rsid w:val="58F960F8"/>
    <w:rsid w:val="59264D13"/>
    <w:rsid w:val="5B573321"/>
    <w:rsid w:val="5C1E1084"/>
    <w:rsid w:val="5E90355B"/>
    <w:rsid w:val="5EE27322"/>
    <w:rsid w:val="5F736EDC"/>
    <w:rsid w:val="60921071"/>
    <w:rsid w:val="60F035C2"/>
    <w:rsid w:val="623446C7"/>
    <w:rsid w:val="633441F6"/>
    <w:rsid w:val="6352429E"/>
    <w:rsid w:val="63A94A71"/>
    <w:rsid w:val="63E45615"/>
    <w:rsid w:val="6457311E"/>
    <w:rsid w:val="645A1DAF"/>
    <w:rsid w:val="64940258"/>
    <w:rsid w:val="64940A1E"/>
    <w:rsid w:val="654E3E40"/>
    <w:rsid w:val="684C0935"/>
    <w:rsid w:val="69021DF3"/>
    <w:rsid w:val="69267541"/>
    <w:rsid w:val="698348FA"/>
    <w:rsid w:val="69AD4D95"/>
    <w:rsid w:val="6A1720C7"/>
    <w:rsid w:val="6A315ABB"/>
    <w:rsid w:val="6A43654D"/>
    <w:rsid w:val="6A827113"/>
    <w:rsid w:val="6A87598F"/>
    <w:rsid w:val="6C9205D9"/>
    <w:rsid w:val="6D367190"/>
    <w:rsid w:val="6D9B31CD"/>
    <w:rsid w:val="6E1970B9"/>
    <w:rsid w:val="6E45564D"/>
    <w:rsid w:val="6F763902"/>
    <w:rsid w:val="6FE30FB3"/>
    <w:rsid w:val="703849D5"/>
    <w:rsid w:val="711712EF"/>
    <w:rsid w:val="7180640A"/>
    <w:rsid w:val="71896340"/>
    <w:rsid w:val="71A978B5"/>
    <w:rsid w:val="71F35AC2"/>
    <w:rsid w:val="72B81640"/>
    <w:rsid w:val="72DA2E30"/>
    <w:rsid w:val="741B5852"/>
    <w:rsid w:val="745F4EB9"/>
    <w:rsid w:val="747A4F9D"/>
    <w:rsid w:val="74B57A97"/>
    <w:rsid w:val="7574564B"/>
    <w:rsid w:val="75BD508E"/>
    <w:rsid w:val="77A946B8"/>
    <w:rsid w:val="77B14F43"/>
    <w:rsid w:val="792A1CCE"/>
    <w:rsid w:val="793439F5"/>
    <w:rsid w:val="796E3D99"/>
    <w:rsid w:val="7B8D7C88"/>
    <w:rsid w:val="7BE31831"/>
    <w:rsid w:val="7C252C88"/>
    <w:rsid w:val="7C764322"/>
    <w:rsid w:val="7D7773AC"/>
    <w:rsid w:val="7DCA16A4"/>
    <w:rsid w:val="7E696C29"/>
    <w:rsid w:val="7E6D0CC7"/>
    <w:rsid w:val="7E863C64"/>
    <w:rsid w:val="7EEF7FE1"/>
    <w:rsid w:val="7F67167B"/>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31"/>
    <w:qFormat/>
    <w:uiPriority w:val="0"/>
    <w:pPr>
      <w:keepNext/>
      <w:keepLines/>
      <w:spacing w:line="576" w:lineRule="auto"/>
      <w:outlineLvl w:val="0"/>
    </w:pPr>
    <w:rPr>
      <w:b/>
      <w:bCs/>
      <w:kern w:val="44"/>
      <w:sz w:val="44"/>
      <w:szCs w:val="44"/>
    </w:rPr>
  </w:style>
  <w:style w:type="paragraph" w:styleId="4">
    <w:name w:val="heading 2"/>
    <w:basedOn w:val="1"/>
    <w:next w:val="1"/>
    <w:link w:val="147"/>
    <w:qFormat/>
    <w:uiPriority w:val="0"/>
    <w:pPr>
      <w:keepNext/>
      <w:keepLines/>
      <w:spacing w:line="415" w:lineRule="auto"/>
      <w:outlineLvl w:val="1"/>
    </w:pPr>
    <w:rPr>
      <w:rFonts w:ascii="Arial" w:hAnsi="Arial" w:eastAsia="黑体"/>
      <w:b/>
      <w:bCs/>
      <w:sz w:val="32"/>
      <w:szCs w:val="32"/>
    </w:rPr>
  </w:style>
  <w:style w:type="paragraph" w:styleId="5">
    <w:name w:val="heading 3"/>
    <w:basedOn w:val="1"/>
    <w:next w:val="1"/>
    <w:link w:val="127"/>
    <w:qFormat/>
    <w:uiPriority w:val="0"/>
    <w:pPr>
      <w:keepNext/>
      <w:keepLines/>
      <w:spacing w:line="415" w:lineRule="auto"/>
      <w:outlineLvl w:val="2"/>
    </w:pPr>
    <w:rPr>
      <w:b/>
      <w:bCs/>
      <w:sz w:val="32"/>
      <w:szCs w:val="32"/>
    </w:rPr>
  </w:style>
  <w:style w:type="paragraph" w:styleId="6">
    <w:name w:val="heading 4"/>
    <w:basedOn w:val="1"/>
    <w:next w:val="1"/>
    <w:link w:val="139"/>
    <w:qFormat/>
    <w:uiPriority w:val="0"/>
    <w:pPr>
      <w:keepNext/>
      <w:keepLines/>
      <w:spacing w:line="374" w:lineRule="auto"/>
      <w:outlineLvl w:val="3"/>
    </w:pPr>
    <w:rPr>
      <w:rFonts w:ascii="Arial" w:hAnsi="Arial" w:eastAsia="黑体"/>
      <w:b/>
      <w:bCs/>
      <w:sz w:val="28"/>
      <w:szCs w:val="28"/>
    </w:rPr>
  </w:style>
  <w:style w:type="paragraph" w:styleId="7">
    <w:name w:val="heading 5"/>
    <w:basedOn w:val="1"/>
    <w:next w:val="1"/>
    <w:link w:val="126"/>
    <w:qFormat/>
    <w:uiPriority w:val="0"/>
    <w:pPr>
      <w:keepNext/>
      <w:keepLines/>
      <w:spacing w:before="280" w:after="290" w:line="372" w:lineRule="auto"/>
      <w:outlineLvl w:val="4"/>
    </w:pPr>
    <w:rPr>
      <w:rFonts w:ascii="Calibri" w:hAnsi="Calibri"/>
      <w:b/>
      <w:bCs/>
      <w:sz w:val="28"/>
      <w:szCs w:val="28"/>
    </w:rPr>
  </w:style>
  <w:style w:type="paragraph" w:styleId="8">
    <w:name w:val="heading 6"/>
    <w:basedOn w:val="1"/>
    <w:next w:val="1"/>
    <w:link w:val="146"/>
    <w:qFormat/>
    <w:uiPriority w:val="0"/>
    <w:pPr>
      <w:keepNext/>
      <w:keepLines/>
      <w:widowControl/>
      <w:tabs>
        <w:tab w:val="left" w:pos="1440"/>
      </w:tabs>
      <w:spacing w:line="319" w:lineRule="auto"/>
      <w:ind w:left="1152" w:hanging="1152"/>
      <w:jc w:val="left"/>
      <w:outlineLvl w:val="5"/>
    </w:pPr>
    <w:rPr>
      <w:rFonts w:ascii="Arial" w:hAnsi="Arial" w:eastAsia="黑体"/>
      <w:b/>
      <w:bCs/>
      <w:kern w:val="0"/>
      <w:sz w:val="24"/>
    </w:rPr>
  </w:style>
  <w:style w:type="paragraph" w:styleId="9">
    <w:name w:val="heading 7"/>
    <w:basedOn w:val="1"/>
    <w:next w:val="1"/>
    <w:link w:val="145"/>
    <w:qFormat/>
    <w:uiPriority w:val="0"/>
    <w:pPr>
      <w:keepNext/>
      <w:keepLines/>
      <w:widowControl/>
      <w:tabs>
        <w:tab w:val="left" w:pos="2520"/>
      </w:tabs>
      <w:spacing w:line="319" w:lineRule="auto"/>
      <w:ind w:left="1296" w:hanging="1296"/>
      <w:jc w:val="left"/>
      <w:outlineLvl w:val="6"/>
    </w:pPr>
    <w:rPr>
      <w:b/>
      <w:bCs/>
      <w:kern w:val="0"/>
      <w:sz w:val="24"/>
    </w:rPr>
  </w:style>
  <w:style w:type="paragraph" w:styleId="10">
    <w:name w:val="heading 8"/>
    <w:basedOn w:val="1"/>
    <w:next w:val="1"/>
    <w:link w:val="150"/>
    <w:qFormat/>
    <w:uiPriority w:val="0"/>
    <w:pPr>
      <w:keepNext/>
      <w:keepLines/>
      <w:widowControl/>
      <w:tabs>
        <w:tab w:val="left" w:pos="1440"/>
      </w:tabs>
      <w:spacing w:line="319" w:lineRule="auto"/>
      <w:ind w:left="1440" w:hanging="1440"/>
      <w:jc w:val="left"/>
      <w:outlineLvl w:val="7"/>
    </w:pPr>
    <w:rPr>
      <w:rFonts w:ascii="Arial" w:hAnsi="Arial" w:eastAsia="黑体"/>
      <w:kern w:val="0"/>
      <w:sz w:val="24"/>
    </w:rPr>
  </w:style>
  <w:style w:type="paragraph" w:styleId="11">
    <w:name w:val="heading 9"/>
    <w:basedOn w:val="1"/>
    <w:next w:val="1"/>
    <w:link w:val="114"/>
    <w:qFormat/>
    <w:uiPriority w:val="0"/>
    <w:pPr>
      <w:keepNext/>
      <w:keepLines/>
      <w:widowControl/>
      <w:tabs>
        <w:tab w:val="left" w:pos="1584"/>
      </w:tabs>
      <w:spacing w:line="319" w:lineRule="auto"/>
      <w:ind w:left="1584" w:hanging="1584"/>
      <w:jc w:val="left"/>
      <w:outlineLvl w:val="8"/>
    </w:pPr>
    <w:rPr>
      <w:rFonts w:ascii="Arial" w:hAnsi="Arial" w:eastAsia="黑体"/>
      <w:kern w:val="0"/>
      <w:szCs w:val="21"/>
    </w:rPr>
  </w:style>
  <w:style w:type="character" w:default="1" w:styleId="49">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customStyle="1" w:styleId="2">
    <w:name w:val="BodyText1I2"/>
    <w:qFormat/>
    <w:uiPriority w:val="0"/>
    <w:pPr>
      <w:widowControl/>
      <w:spacing w:line="360" w:lineRule="auto"/>
      <w:ind w:left="420" w:firstLine="420" w:firstLineChars="200"/>
      <w:jc w:val="both"/>
      <w:textAlignment w:val="baseline"/>
    </w:pPr>
    <w:rPr>
      <w:rFonts w:ascii="Times New Roman" w:hAnsi="Times New Roman" w:eastAsia="宋体" w:cs="Times New Roman"/>
      <w:color w:val="000000"/>
      <w:kern w:val="2"/>
      <w:sz w:val="24"/>
      <w:szCs w:val="32"/>
      <w:lang w:val="en-US" w:eastAsia="zh-CN" w:bidi="ar-SA"/>
    </w:rPr>
  </w:style>
  <w:style w:type="paragraph" w:styleId="12">
    <w:name w:val="toc 7"/>
    <w:basedOn w:val="1"/>
    <w:next w:val="1"/>
    <w:qFormat/>
    <w:uiPriority w:val="0"/>
    <w:pPr>
      <w:ind w:left="1260"/>
      <w:jc w:val="left"/>
    </w:pPr>
    <w:rPr>
      <w:sz w:val="18"/>
      <w:szCs w:val="18"/>
    </w:rPr>
  </w:style>
  <w:style w:type="paragraph" w:styleId="13">
    <w:name w:val="Normal Indent"/>
    <w:basedOn w:val="1"/>
    <w:link w:val="129"/>
    <w:qFormat/>
    <w:uiPriority w:val="0"/>
    <w:pPr>
      <w:ind w:firstLine="420" w:firstLineChars="200"/>
    </w:pPr>
  </w:style>
  <w:style w:type="paragraph" w:styleId="14">
    <w:name w:val="caption"/>
    <w:basedOn w:val="1"/>
    <w:next w:val="1"/>
    <w:qFormat/>
    <w:uiPriority w:val="0"/>
    <w:rPr>
      <w:rFonts w:ascii="Cambria" w:hAnsi="Cambria" w:eastAsia="黑体"/>
      <w:sz w:val="20"/>
      <w:szCs w:val="20"/>
    </w:rPr>
  </w:style>
  <w:style w:type="paragraph" w:styleId="15">
    <w:name w:val="List Bullet"/>
    <w:basedOn w:val="1"/>
    <w:qFormat/>
    <w:uiPriority w:val="0"/>
    <w:pPr>
      <w:tabs>
        <w:tab w:val="left" w:pos="845"/>
      </w:tabs>
      <w:spacing w:before="120" w:after="120" w:line="360" w:lineRule="auto"/>
      <w:ind w:left="845" w:hanging="425"/>
    </w:pPr>
    <w:rPr>
      <w:szCs w:val="20"/>
    </w:rPr>
  </w:style>
  <w:style w:type="paragraph" w:styleId="16">
    <w:name w:val="Document Map"/>
    <w:basedOn w:val="1"/>
    <w:link w:val="119"/>
    <w:qFormat/>
    <w:uiPriority w:val="0"/>
    <w:pPr>
      <w:shd w:val="clear" w:color="auto" w:fill="000080"/>
    </w:pPr>
  </w:style>
  <w:style w:type="paragraph" w:styleId="17">
    <w:name w:val="annotation text"/>
    <w:basedOn w:val="1"/>
    <w:link w:val="113"/>
    <w:qFormat/>
    <w:uiPriority w:val="0"/>
    <w:pPr>
      <w:jc w:val="left"/>
    </w:pPr>
  </w:style>
  <w:style w:type="paragraph" w:styleId="18">
    <w:name w:val="Body Text 3"/>
    <w:basedOn w:val="1"/>
    <w:qFormat/>
    <w:uiPriority w:val="0"/>
    <w:rPr>
      <w:rFonts w:ascii="宋体"/>
      <w:sz w:val="24"/>
      <w:szCs w:val="20"/>
    </w:rPr>
  </w:style>
  <w:style w:type="paragraph" w:styleId="19">
    <w:name w:val="Body Text"/>
    <w:basedOn w:val="20"/>
    <w:next w:val="20"/>
    <w:link w:val="125"/>
    <w:qFormat/>
    <w:uiPriority w:val="0"/>
    <w:rPr>
      <w:rFonts w:ascii="Times New Roman" w:cs="Times New Roman"/>
      <w:color w:val="auto"/>
      <w:kern w:val="2"/>
      <w:sz w:val="21"/>
    </w:rPr>
  </w:style>
  <w:style w:type="paragraph" w:customStyle="1" w:styleId="2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21">
    <w:name w:val="Body Text Indent"/>
    <w:basedOn w:val="1"/>
    <w:qFormat/>
    <w:uiPriority w:val="0"/>
    <w:pPr>
      <w:ind w:left="420" w:leftChars="200"/>
    </w:pPr>
  </w:style>
  <w:style w:type="paragraph" w:styleId="22">
    <w:name w:val="Block Text"/>
    <w:basedOn w:val="1"/>
    <w:qFormat/>
    <w:uiPriority w:val="0"/>
    <w:pPr>
      <w:adjustRightInd w:val="0"/>
      <w:ind w:left="420" w:right="33"/>
      <w:jc w:val="left"/>
    </w:pPr>
    <w:rPr>
      <w:kern w:val="0"/>
      <w:sz w:val="24"/>
      <w:szCs w:val="20"/>
    </w:rPr>
  </w:style>
  <w:style w:type="paragraph" w:styleId="23">
    <w:name w:val="index 4"/>
    <w:basedOn w:val="1"/>
    <w:next w:val="1"/>
    <w:qFormat/>
    <w:uiPriority w:val="0"/>
    <w:pPr>
      <w:ind w:left="600" w:leftChars="600"/>
    </w:pPr>
  </w:style>
  <w:style w:type="paragraph" w:styleId="24">
    <w:name w:val="toc 5"/>
    <w:basedOn w:val="1"/>
    <w:next w:val="1"/>
    <w:qFormat/>
    <w:uiPriority w:val="0"/>
    <w:pPr>
      <w:ind w:left="840"/>
      <w:jc w:val="left"/>
    </w:pPr>
    <w:rPr>
      <w:sz w:val="18"/>
      <w:szCs w:val="18"/>
    </w:rPr>
  </w:style>
  <w:style w:type="paragraph" w:styleId="25">
    <w:name w:val="toc 3"/>
    <w:basedOn w:val="1"/>
    <w:next w:val="1"/>
    <w:qFormat/>
    <w:uiPriority w:val="0"/>
    <w:pPr>
      <w:ind w:left="420"/>
      <w:jc w:val="left"/>
    </w:pPr>
    <w:rPr>
      <w:i/>
      <w:iCs/>
      <w:sz w:val="20"/>
      <w:szCs w:val="20"/>
    </w:rPr>
  </w:style>
  <w:style w:type="paragraph" w:styleId="26">
    <w:name w:val="Plain Text"/>
    <w:basedOn w:val="1"/>
    <w:link w:val="132"/>
    <w:qFormat/>
    <w:uiPriority w:val="0"/>
    <w:rPr>
      <w:rFonts w:ascii="Courier New" w:hAnsi="Courier New"/>
      <w:szCs w:val="20"/>
    </w:rPr>
  </w:style>
  <w:style w:type="paragraph" w:styleId="27">
    <w:name w:val="toc 8"/>
    <w:basedOn w:val="1"/>
    <w:next w:val="1"/>
    <w:qFormat/>
    <w:uiPriority w:val="0"/>
    <w:pPr>
      <w:ind w:left="1470"/>
      <w:jc w:val="left"/>
    </w:pPr>
    <w:rPr>
      <w:sz w:val="18"/>
      <w:szCs w:val="18"/>
    </w:rPr>
  </w:style>
  <w:style w:type="paragraph" w:styleId="28">
    <w:name w:val="Date"/>
    <w:basedOn w:val="1"/>
    <w:next w:val="1"/>
    <w:qFormat/>
    <w:uiPriority w:val="0"/>
    <w:rPr>
      <w:sz w:val="24"/>
      <w:szCs w:val="20"/>
    </w:rPr>
  </w:style>
  <w:style w:type="paragraph" w:styleId="29">
    <w:name w:val="Body Text Indent 2"/>
    <w:basedOn w:val="1"/>
    <w:qFormat/>
    <w:uiPriority w:val="0"/>
    <w:pPr>
      <w:spacing w:after="120" w:line="480" w:lineRule="auto"/>
      <w:ind w:left="420" w:leftChars="200"/>
    </w:pPr>
  </w:style>
  <w:style w:type="paragraph" w:styleId="30">
    <w:name w:val="Balloon Text"/>
    <w:basedOn w:val="1"/>
    <w:qFormat/>
    <w:uiPriority w:val="0"/>
    <w:rPr>
      <w:sz w:val="18"/>
      <w:szCs w:val="18"/>
    </w:rPr>
  </w:style>
  <w:style w:type="paragraph" w:styleId="31">
    <w:name w:val="footer"/>
    <w:basedOn w:val="1"/>
    <w:qFormat/>
    <w:uiPriority w:val="0"/>
    <w:pPr>
      <w:tabs>
        <w:tab w:val="center" w:pos="4153"/>
        <w:tab w:val="right" w:pos="8306"/>
      </w:tabs>
      <w:snapToGrid w:val="0"/>
      <w:jc w:val="left"/>
    </w:pPr>
    <w:rPr>
      <w:sz w:val="18"/>
      <w:szCs w:val="18"/>
    </w:rPr>
  </w:style>
  <w:style w:type="paragraph" w:styleId="32">
    <w:name w:val="header"/>
    <w:basedOn w:val="1"/>
    <w:link w:val="133"/>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0"/>
    <w:pPr>
      <w:jc w:val="left"/>
    </w:pPr>
    <w:rPr>
      <w:b/>
      <w:bCs/>
      <w:caps/>
      <w:sz w:val="20"/>
      <w:szCs w:val="20"/>
    </w:rPr>
  </w:style>
  <w:style w:type="paragraph" w:styleId="34">
    <w:name w:val="toc 4"/>
    <w:basedOn w:val="1"/>
    <w:next w:val="1"/>
    <w:qFormat/>
    <w:uiPriority w:val="0"/>
    <w:pPr>
      <w:ind w:left="630"/>
      <w:jc w:val="left"/>
    </w:pPr>
    <w:rPr>
      <w:sz w:val="18"/>
      <w:szCs w:val="18"/>
    </w:rPr>
  </w:style>
  <w:style w:type="paragraph" w:styleId="35">
    <w:name w:val="Subtitle"/>
    <w:basedOn w:val="1"/>
    <w:next w:val="1"/>
    <w:link w:val="138"/>
    <w:qFormat/>
    <w:uiPriority w:val="0"/>
    <w:pPr>
      <w:spacing w:before="240" w:after="60" w:line="312" w:lineRule="auto"/>
      <w:jc w:val="center"/>
      <w:outlineLvl w:val="1"/>
    </w:pPr>
    <w:rPr>
      <w:rFonts w:ascii="Arial" w:hAnsi="Arial" w:eastAsia="黑体"/>
      <w:b/>
      <w:bCs/>
      <w:sz w:val="32"/>
      <w:szCs w:val="32"/>
    </w:rPr>
  </w:style>
  <w:style w:type="paragraph" w:styleId="36">
    <w:name w:val="footnote text"/>
    <w:basedOn w:val="1"/>
    <w:qFormat/>
    <w:uiPriority w:val="0"/>
    <w:rPr>
      <w:sz w:val="20"/>
      <w:szCs w:val="20"/>
    </w:rPr>
  </w:style>
  <w:style w:type="paragraph" w:styleId="37">
    <w:name w:val="toc 6"/>
    <w:basedOn w:val="1"/>
    <w:next w:val="1"/>
    <w:qFormat/>
    <w:uiPriority w:val="0"/>
    <w:pPr>
      <w:ind w:left="1050"/>
      <w:jc w:val="left"/>
    </w:pPr>
    <w:rPr>
      <w:sz w:val="18"/>
      <w:szCs w:val="18"/>
    </w:rPr>
  </w:style>
  <w:style w:type="paragraph" w:styleId="38">
    <w:name w:val="Body Text Indent 3"/>
    <w:basedOn w:val="1"/>
    <w:qFormat/>
    <w:uiPriority w:val="0"/>
    <w:pPr>
      <w:ind w:left="420" w:leftChars="200"/>
    </w:pPr>
    <w:rPr>
      <w:sz w:val="16"/>
      <w:szCs w:val="16"/>
    </w:rPr>
  </w:style>
  <w:style w:type="paragraph" w:styleId="39">
    <w:name w:val="table of figures"/>
    <w:basedOn w:val="1"/>
    <w:next w:val="1"/>
    <w:qFormat/>
    <w:uiPriority w:val="0"/>
    <w:pPr>
      <w:ind w:left="200" w:leftChars="200" w:hanging="200" w:hangingChars="200"/>
    </w:pPr>
  </w:style>
  <w:style w:type="paragraph" w:styleId="40">
    <w:name w:val="toc 2"/>
    <w:basedOn w:val="1"/>
    <w:next w:val="1"/>
    <w:qFormat/>
    <w:uiPriority w:val="0"/>
    <w:pPr>
      <w:ind w:left="210"/>
      <w:jc w:val="left"/>
    </w:pPr>
    <w:rPr>
      <w:smallCaps/>
      <w:sz w:val="20"/>
      <w:szCs w:val="20"/>
    </w:rPr>
  </w:style>
  <w:style w:type="paragraph" w:styleId="41">
    <w:name w:val="toc 9"/>
    <w:basedOn w:val="1"/>
    <w:next w:val="1"/>
    <w:qFormat/>
    <w:uiPriority w:val="0"/>
    <w:pPr>
      <w:ind w:left="1680"/>
      <w:jc w:val="left"/>
    </w:pPr>
    <w:rPr>
      <w:sz w:val="18"/>
      <w:szCs w:val="18"/>
    </w:rPr>
  </w:style>
  <w:style w:type="paragraph" w:styleId="42">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3">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4">
    <w:name w:val="index 1"/>
    <w:basedOn w:val="1"/>
    <w:next w:val="1"/>
    <w:semiHidden/>
    <w:qFormat/>
    <w:uiPriority w:val="0"/>
    <w:pPr>
      <w:spacing w:line="480" w:lineRule="auto"/>
      <w:jc w:val="center"/>
    </w:pPr>
    <w:rPr>
      <w:sz w:val="32"/>
    </w:rPr>
  </w:style>
  <w:style w:type="paragraph" w:styleId="45">
    <w:name w:val="Title"/>
    <w:basedOn w:val="1"/>
    <w:qFormat/>
    <w:uiPriority w:val="0"/>
    <w:pPr>
      <w:adjustRightInd w:val="0"/>
      <w:spacing w:line="420" w:lineRule="atLeast"/>
      <w:jc w:val="center"/>
      <w:textAlignment w:val="baseline"/>
      <w:outlineLvl w:val="0"/>
    </w:pPr>
    <w:rPr>
      <w:rFonts w:ascii="Arial" w:hAnsi="Arial"/>
      <w:b/>
      <w:kern w:val="0"/>
      <w:sz w:val="32"/>
      <w:szCs w:val="20"/>
    </w:rPr>
  </w:style>
  <w:style w:type="paragraph" w:styleId="46">
    <w:name w:val="annotation subject"/>
    <w:basedOn w:val="17"/>
    <w:next w:val="17"/>
    <w:qFormat/>
    <w:uiPriority w:val="0"/>
    <w:rPr>
      <w:b/>
      <w:bCs/>
    </w:rPr>
  </w:style>
  <w:style w:type="table" w:styleId="48">
    <w:name w:val="Table Grid"/>
    <w:basedOn w:val="4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0">
    <w:name w:val="Strong"/>
    <w:qFormat/>
    <w:uiPriority w:val="22"/>
    <w:rPr>
      <w:b/>
      <w:bCs/>
    </w:rPr>
  </w:style>
  <w:style w:type="character" w:styleId="51">
    <w:name w:val="page number"/>
    <w:qFormat/>
    <w:uiPriority w:val="0"/>
  </w:style>
  <w:style w:type="character" w:styleId="52">
    <w:name w:val="FollowedHyperlink"/>
    <w:qFormat/>
    <w:uiPriority w:val="0"/>
    <w:rPr>
      <w:color w:val="000000"/>
      <w:u w:val="none"/>
    </w:rPr>
  </w:style>
  <w:style w:type="character" w:styleId="53">
    <w:name w:val="Emphasis"/>
    <w:qFormat/>
    <w:uiPriority w:val="0"/>
    <w:rPr>
      <w:i/>
      <w:iCs/>
    </w:rPr>
  </w:style>
  <w:style w:type="character" w:styleId="54">
    <w:name w:val="Hyperlink"/>
    <w:qFormat/>
    <w:uiPriority w:val="0"/>
    <w:rPr>
      <w:color w:val="000000"/>
      <w:u w:val="none"/>
    </w:rPr>
  </w:style>
  <w:style w:type="character" w:styleId="55">
    <w:name w:val="annotation reference"/>
    <w:qFormat/>
    <w:uiPriority w:val="0"/>
    <w:rPr>
      <w:sz w:val="21"/>
      <w:szCs w:val="21"/>
    </w:rPr>
  </w:style>
  <w:style w:type="character" w:styleId="56">
    <w:name w:val="footnote reference"/>
    <w:qFormat/>
    <w:uiPriority w:val="0"/>
    <w:rPr>
      <w:vertAlign w:val="superscript"/>
    </w:rPr>
  </w:style>
  <w:style w:type="paragraph" w:customStyle="1" w:styleId="57">
    <w:name w:val="样式3"/>
    <w:basedOn w:val="5"/>
    <w:qFormat/>
    <w:uiPriority w:val="0"/>
    <w:rPr>
      <w:rFonts w:eastAsia="Arial"/>
    </w:rPr>
  </w:style>
  <w:style w:type="paragraph" w:customStyle="1" w:styleId="58">
    <w:name w:val="Char4"/>
    <w:basedOn w:val="1"/>
    <w:qFormat/>
    <w:uiPriority w:val="0"/>
    <w:pPr>
      <w:spacing w:line="360" w:lineRule="auto"/>
      <w:ind w:firstLine="200" w:firstLineChars="200"/>
    </w:pPr>
    <w:rPr>
      <w:rFonts w:ascii="Arial" w:hAnsi="Arial" w:cs="Arial"/>
      <w:sz w:val="24"/>
    </w:rPr>
  </w:style>
  <w:style w:type="paragraph" w:customStyle="1" w:styleId="59">
    <w:name w:val="标题4"/>
    <w:basedOn w:val="4"/>
    <w:next w:val="23"/>
    <w:link w:val="136"/>
    <w:qFormat/>
    <w:uiPriority w:val="0"/>
    <w:pPr>
      <w:spacing w:line="413" w:lineRule="auto"/>
    </w:pPr>
    <w:rPr>
      <w:rFonts w:eastAsia="宋体"/>
      <w:kern w:val="0"/>
      <w:sz w:val="24"/>
    </w:rPr>
  </w:style>
  <w:style w:type="paragraph" w:customStyle="1" w:styleId="60">
    <w:name w:val="正文1"/>
    <w:qFormat/>
    <w:uiPriority w:val="0"/>
    <w:pPr>
      <w:widowControl w:val="0"/>
      <w:adjustRightInd w:val="0"/>
      <w:spacing w:line="312" w:lineRule="atLeast"/>
      <w:jc w:val="both"/>
    </w:pPr>
    <w:rPr>
      <w:rFonts w:hint="eastAsia" w:ascii="宋体" w:hAnsi="Times New Roman" w:eastAsia="宋体" w:cs="Times New Roman"/>
      <w:sz w:val="34"/>
      <w:lang w:val="en-US" w:eastAsia="zh-CN" w:bidi="ar-SA"/>
    </w:rPr>
  </w:style>
  <w:style w:type="paragraph" w:customStyle="1" w:styleId="61">
    <w:name w:val="Char Char Char Char Char"/>
    <w:basedOn w:val="1"/>
    <w:qFormat/>
    <w:uiPriority w:val="0"/>
    <w:pPr>
      <w:tabs>
        <w:tab w:val="left" w:pos="1360"/>
      </w:tabs>
      <w:ind w:left="1360" w:hanging="720"/>
    </w:pPr>
    <w:rPr>
      <w:szCs w:val="20"/>
    </w:rPr>
  </w:style>
  <w:style w:type="paragraph" w:customStyle="1" w:styleId="62">
    <w:name w:val="XW编号正文"/>
    <w:basedOn w:val="63"/>
    <w:qFormat/>
    <w:uiPriority w:val="0"/>
    <w:pPr>
      <w:numPr>
        <w:ilvl w:val="0"/>
        <w:numId w:val="1"/>
      </w:numPr>
      <w:tabs>
        <w:tab w:val="left" w:pos="1035"/>
        <w:tab w:val="left" w:pos="1134"/>
      </w:tabs>
      <w:ind w:left="1035" w:hanging="720"/>
      <w:jc w:val="left"/>
    </w:pPr>
  </w:style>
  <w:style w:type="paragraph" w:customStyle="1" w:styleId="63">
    <w:name w:val="XW正文"/>
    <w:basedOn w:val="21"/>
    <w:qFormat/>
    <w:uiPriority w:val="0"/>
    <w:pPr>
      <w:adjustRightInd w:val="0"/>
      <w:spacing w:line="300" w:lineRule="auto"/>
      <w:ind w:left="0" w:leftChars="0" w:firstLine="454"/>
      <w:textAlignment w:val="baseline"/>
    </w:pPr>
    <w:rPr>
      <w:szCs w:val="20"/>
    </w:rPr>
  </w:style>
  <w:style w:type="paragraph" w:customStyle="1" w:styleId="64">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65">
    <w:name w:val="A1"/>
    <w:basedOn w:val="26"/>
    <w:qFormat/>
    <w:uiPriority w:val="0"/>
    <w:pPr>
      <w:spacing w:line="300" w:lineRule="auto"/>
      <w:jc w:val="center"/>
    </w:pPr>
    <w:rPr>
      <w:rFonts w:ascii="黑体" w:eastAsia="黑体"/>
      <w:sz w:val="52"/>
      <w:szCs w:val="21"/>
    </w:rPr>
  </w:style>
  <w:style w:type="paragraph" w:customStyle="1" w:styleId="66">
    <w:name w:val="样式 标题 1标题 1XW + 黑色 两端对齐 段前: 6 磅 段后: 6 磅 行距: 最小值 22 磅"/>
    <w:basedOn w:val="3"/>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67">
    <w:name w:val="p0"/>
    <w:basedOn w:val="1"/>
    <w:qFormat/>
    <w:uiPriority w:val="0"/>
    <w:pPr>
      <w:widowControl/>
    </w:pPr>
    <w:rPr>
      <w:kern w:val="0"/>
      <w:szCs w:val="21"/>
    </w:rPr>
  </w:style>
  <w:style w:type="paragraph" w:customStyle="1" w:styleId="6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69">
    <w:name w:val="彩色网格 - 强调文字颜色 11"/>
    <w:basedOn w:val="1"/>
    <w:next w:val="1"/>
    <w:link w:val="153"/>
    <w:qFormat/>
    <w:uiPriority w:val="0"/>
    <w:rPr>
      <w:i/>
      <w:iCs/>
      <w:color w:val="000000"/>
      <w:szCs w:val="22"/>
    </w:rPr>
  </w:style>
  <w:style w:type="paragraph" w:customStyle="1" w:styleId="70">
    <w:name w:val="A2"/>
    <w:basedOn w:val="26"/>
    <w:qFormat/>
    <w:uiPriority w:val="0"/>
    <w:pPr>
      <w:spacing w:line="300" w:lineRule="auto"/>
      <w:jc w:val="left"/>
    </w:pPr>
    <w:rPr>
      <w:rFonts w:ascii="黑体" w:eastAsia="黑体"/>
      <w:szCs w:val="21"/>
    </w:rPr>
  </w:style>
  <w:style w:type="paragraph" w:customStyle="1" w:styleId="71">
    <w:name w:val="Char"/>
    <w:basedOn w:val="1"/>
    <w:qFormat/>
    <w:uiPriority w:val="0"/>
  </w:style>
  <w:style w:type="paragraph" w:customStyle="1" w:styleId="72">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73">
    <w:name w:val="样式 标题 1 + 黑体 三号 非加粗 居中 段前: 6 磅 段后: 6 磅 行距: 固定值 20 磅"/>
    <w:basedOn w:val="3"/>
    <w:qFormat/>
    <w:uiPriority w:val="0"/>
    <w:pPr>
      <w:spacing w:line="400" w:lineRule="exact"/>
      <w:jc w:val="center"/>
    </w:pPr>
    <w:rPr>
      <w:rFonts w:ascii="黑体" w:hAnsi="黑体" w:eastAsia="黑体" w:cs="宋体"/>
      <w:b w:val="0"/>
      <w:bCs w:val="0"/>
      <w:sz w:val="32"/>
      <w:szCs w:val="20"/>
    </w:rPr>
  </w:style>
  <w:style w:type="paragraph" w:customStyle="1" w:styleId="74">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75">
    <w:name w:val="目录"/>
    <w:basedOn w:val="1"/>
    <w:qFormat/>
    <w:uiPriority w:val="0"/>
    <w:pPr>
      <w:widowControl/>
      <w:jc w:val="center"/>
    </w:pPr>
    <w:rPr>
      <w:rFonts w:hint="eastAsia" w:ascii="宋体"/>
      <w:b/>
      <w:kern w:val="0"/>
      <w:sz w:val="36"/>
      <w:szCs w:val="20"/>
    </w:rPr>
  </w:style>
  <w:style w:type="paragraph" w:customStyle="1" w:styleId="76">
    <w:name w:val="标题5"/>
    <w:basedOn w:val="5"/>
    <w:link w:val="142"/>
    <w:qFormat/>
    <w:uiPriority w:val="0"/>
    <w:pPr>
      <w:spacing w:line="413" w:lineRule="auto"/>
    </w:pPr>
    <w:rPr>
      <w:rFonts w:ascii="Arial" w:hAnsi="Arial"/>
      <w:kern w:val="0"/>
      <w:sz w:val="24"/>
    </w:rPr>
  </w:style>
  <w:style w:type="paragraph" w:customStyle="1" w:styleId="77">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78">
    <w:name w:val="表格文字"/>
    <w:basedOn w:val="1"/>
    <w:qFormat/>
    <w:uiPriority w:val="0"/>
    <w:pPr>
      <w:adjustRightInd w:val="0"/>
      <w:spacing w:line="420" w:lineRule="atLeast"/>
      <w:jc w:val="left"/>
      <w:textAlignment w:val="baseline"/>
    </w:pPr>
    <w:rPr>
      <w:kern w:val="0"/>
      <w:szCs w:val="20"/>
    </w:rPr>
  </w:style>
  <w:style w:type="paragraph" w:customStyle="1" w:styleId="79">
    <w:name w:val="样式 标题 2 + Times New Roman 四号 非加粗 段前: 5 磅 段后: 0 磅 行距: 固定值 20..."/>
    <w:basedOn w:val="4"/>
    <w:qFormat/>
    <w:uiPriority w:val="0"/>
    <w:pPr>
      <w:spacing w:line="400" w:lineRule="exact"/>
    </w:pPr>
    <w:rPr>
      <w:rFonts w:ascii="Times New Roman" w:hAnsi="Times New Roman" w:cs="宋体"/>
      <w:b w:val="0"/>
      <w:bCs w:val="0"/>
      <w:sz w:val="28"/>
      <w:szCs w:val="20"/>
    </w:rPr>
  </w:style>
  <w:style w:type="paragraph" w:customStyle="1" w:styleId="80">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81">
    <w:name w:val="彩色列表 - 强调文字颜色 11"/>
    <w:basedOn w:val="1"/>
    <w:qFormat/>
    <w:uiPriority w:val="0"/>
    <w:pPr>
      <w:ind w:firstLine="420" w:firstLineChars="200"/>
    </w:pPr>
    <w:rPr>
      <w:rFonts w:ascii="Calibri" w:hAnsi="Calibri"/>
      <w:szCs w:val="22"/>
    </w:rPr>
  </w:style>
  <w:style w:type="paragraph" w:customStyle="1" w:styleId="82">
    <w:name w:val="样式1"/>
    <w:basedOn w:val="5"/>
    <w:qFormat/>
    <w:uiPriority w:val="0"/>
    <w:rPr>
      <w:rFonts w:eastAsia="Arial"/>
    </w:rPr>
  </w:style>
  <w:style w:type="paragraph" w:customStyle="1" w:styleId="83">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84">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85">
    <w:name w:val="中等深浅网格 2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6">
    <w:name w:val="样式2"/>
    <w:basedOn w:val="5"/>
    <w:qFormat/>
    <w:uiPriority w:val="0"/>
  </w:style>
  <w:style w:type="paragraph" w:customStyle="1" w:styleId="87">
    <w:name w:val="1"/>
    <w:basedOn w:val="1"/>
    <w:next w:val="1"/>
    <w:qFormat/>
    <w:uiPriority w:val="0"/>
  </w:style>
  <w:style w:type="paragraph" w:customStyle="1" w:styleId="88">
    <w:name w:val="A3"/>
    <w:basedOn w:val="65"/>
    <w:qFormat/>
    <w:uiPriority w:val="0"/>
    <w:rPr>
      <w:sz w:val="21"/>
    </w:rPr>
  </w:style>
  <w:style w:type="paragraph" w:customStyle="1" w:styleId="89">
    <w:name w:val="样式4"/>
    <w:basedOn w:val="5"/>
    <w:qFormat/>
    <w:uiPriority w:val="0"/>
    <w:rPr>
      <w:rFonts w:eastAsia="Arial"/>
    </w:rPr>
  </w:style>
  <w:style w:type="paragraph" w:customStyle="1" w:styleId="90">
    <w:name w:val="菲页1"/>
    <w:basedOn w:val="4"/>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91">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92">
    <w:name w:val="默认段落字体 Para Char Char Char Char"/>
    <w:basedOn w:val="1"/>
    <w:qFormat/>
    <w:uiPriority w:val="0"/>
  </w:style>
  <w:style w:type="paragraph" w:customStyle="1" w:styleId="93">
    <w:name w:val="浅色底纹 - 强调文字颜色 21"/>
    <w:basedOn w:val="1"/>
    <w:next w:val="1"/>
    <w:link w:val="123"/>
    <w:qFormat/>
    <w:uiPriority w:val="0"/>
    <w:pPr>
      <w:pBdr>
        <w:bottom w:val="single" w:color="4F81BD" w:sz="4" w:space="4"/>
      </w:pBdr>
      <w:spacing w:before="200" w:after="280"/>
      <w:ind w:left="936" w:right="936"/>
    </w:pPr>
    <w:rPr>
      <w:b/>
      <w:bCs/>
      <w:i/>
      <w:iCs/>
      <w:color w:val="4F81BD"/>
      <w:szCs w:val="22"/>
    </w:rPr>
  </w:style>
  <w:style w:type="paragraph" w:customStyle="1" w:styleId="94">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95">
    <w:name w:val="目录标题"/>
    <w:basedOn w:val="3"/>
    <w:next w:val="1"/>
    <w:qFormat/>
    <w:uiPriority w:val="0"/>
    <w:pPr>
      <w:outlineLvl w:val="9"/>
    </w:pPr>
    <w:rPr>
      <w:rFonts w:ascii="Calibri" w:hAnsi="Calibri"/>
    </w:rPr>
  </w:style>
  <w:style w:type="paragraph" w:customStyle="1" w:styleId="96">
    <w:name w:val="表内文字"/>
    <w:basedOn w:val="26"/>
    <w:qFormat/>
    <w:uiPriority w:val="0"/>
    <w:pPr>
      <w:spacing w:before="40" w:after="40" w:line="300" w:lineRule="auto"/>
      <w:ind w:firstLine="525" w:firstLineChars="250"/>
    </w:pPr>
    <w:rPr>
      <w:rFonts w:ascii="Times New Roman" w:hAnsi="Times New Roman" w:eastAsia="仿宋_GB2312"/>
      <w:szCs w:val="21"/>
    </w:rPr>
  </w:style>
  <w:style w:type="paragraph" w:customStyle="1" w:styleId="97">
    <w:name w:val="表格"/>
    <w:basedOn w:val="1"/>
    <w:qFormat/>
    <w:uiPriority w:val="0"/>
    <w:pPr>
      <w:jc w:val="center"/>
      <w:textAlignment w:val="center"/>
    </w:pPr>
    <w:rPr>
      <w:rFonts w:ascii="华文细黑" w:hAnsi="华文细黑"/>
      <w:kern w:val="0"/>
      <w:szCs w:val="20"/>
    </w:rPr>
  </w:style>
  <w:style w:type="paragraph" w:customStyle="1" w:styleId="98">
    <w:name w:val="菲页2"/>
    <w:basedOn w:val="5"/>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99">
    <w:name w:val="表头"/>
    <w:basedOn w:val="1"/>
    <w:qFormat/>
    <w:uiPriority w:val="0"/>
    <w:pPr>
      <w:snapToGrid w:val="0"/>
      <w:spacing w:line="300" w:lineRule="auto"/>
      <w:ind w:right="420"/>
    </w:pPr>
    <w:rPr>
      <w:rFonts w:ascii="仿宋_GB2312"/>
      <w:kern w:val="0"/>
      <w:szCs w:val="21"/>
    </w:rPr>
  </w:style>
  <w:style w:type="paragraph" w:customStyle="1" w:styleId="100">
    <w:name w:val="样式 标题 3 + (中文) 黑体 小四 非加粗 段前: 7.8 磅 段后: 0 磅 行距: 固定值 20 磅"/>
    <w:basedOn w:val="5"/>
    <w:qFormat/>
    <w:uiPriority w:val="0"/>
    <w:pPr>
      <w:spacing w:line="400" w:lineRule="exact"/>
    </w:pPr>
    <w:rPr>
      <w:rFonts w:eastAsia="黑体" w:cs="宋体"/>
      <w:b w:val="0"/>
      <w:bCs w:val="0"/>
      <w:sz w:val="24"/>
      <w:szCs w:val="20"/>
    </w:rPr>
  </w:style>
  <w:style w:type="paragraph" w:customStyle="1" w:styleId="101">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02">
    <w:name w:val="Char1"/>
    <w:basedOn w:val="1"/>
    <w:qFormat/>
    <w:uiPriority w:val="0"/>
    <w:pPr>
      <w:tabs>
        <w:tab w:val="left" w:pos="360"/>
      </w:tabs>
    </w:pPr>
    <w:rPr>
      <w:sz w:val="24"/>
    </w:rPr>
  </w:style>
  <w:style w:type="paragraph" w:customStyle="1" w:styleId="103">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104">
    <w:name w:val="菲页(卷)"/>
    <w:basedOn w:val="3"/>
    <w:next w:val="60"/>
    <w:qFormat/>
    <w:uiPriority w:val="0"/>
    <w:pPr>
      <w:keepLines w:val="0"/>
      <w:widowControl/>
      <w:tabs>
        <w:tab w:val="left" w:pos="432"/>
      </w:tabs>
      <w:spacing w:line="240" w:lineRule="auto"/>
      <w:ind w:left="432" w:hanging="432"/>
      <w:jc w:val="center"/>
      <w:outlineLvl w:val="1"/>
    </w:pPr>
    <w:rPr>
      <w:rFonts w:hint="eastAsia" w:ascii="黑体" w:eastAsia="黑体"/>
      <w:b w:val="0"/>
      <w:bCs w:val="0"/>
      <w:kern w:val="0"/>
      <w:sz w:val="52"/>
      <w:szCs w:val="20"/>
    </w:rPr>
  </w:style>
  <w:style w:type="paragraph" w:customStyle="1" w:styleId="105">
    <w:name w:val="目录文字"/>
    <w:basedOn w:val="1"/>
    <w:qFormat/>
    <w:uiPriority w:val="0"/>
    <w:pPr>
      <w:widowControl/>
      <w:spacing w:line="480" w:lineRule="auto"/>
      <w:jc w:val="left"/>
    </w:pPr>
    <w:rPr>
      <w:rFonts w:hint="eastAsia" w:ascii="宋体" w:hAnsi="宋体"/>
      <w:kern w:val="0"/>
      <w:sz w:val="24"/>
      <w:szCs w:val="20"/>
    </w:rPr>
  </w:style>
  <w:style w:type="character" w:customStyle="1" w:styleId="106">
    <w:name w:val="Char Char19"/>
    <w:qFormat/>
    <w:uiPriority w:val="0"/>
    <w:rPr>
      <w:rFonts w:ascii="黑体" w:hAnsi="宋体" w:eastAsia="黑体"/>
      <w:sz w:val="52"/>
      <w:lang w:val="en-US" w:eastAsia="zh-CN" w:bidi="ar-SA"/>
    </w:rPr>
  </w:style>
  <w:style w:type="character" w:customStyle="1" w:styleId="107">
    <w:name w:val="日期 Char1"/>
    <w:qFormat/>
    <w:uiPriority w:val="0"/>
    <w:rPr>
      <w:kern w:val="2"/>
      <w:sz w:val="21"/>
      <w:szCs w:val="22"/>
    </w:rPr>
  </w:style>
  <w:style w:type="character" w:customStyle="1" w:styleId="108">
    <w:name w:val="_Style 106"/>
    <w:qFormat/>
    <w:uiPriority w:val="0"/>
    <w:rPr>
      <w:i/>
      <w:iCs/>
      <w:color w:val="808080"/>
    </w:rPr>
  </w:style>
  <w:style w:type="character" w:customStyle="1" w:styleId="109">
    <w:name w:val="4号宋体左齐行距1.5倍 Char"/>
    <w:qFormat/>
    <w:uiPriority w:val="0"/>
    <w:rPr>
      <w:rFonts w:eastAsia="宋体"/>
      <w:b/>
      <w:sz w:val="32"/>
      <w:lang w:val="en-US" w:eastAsia="zh-CN" w:bidi="ar-SA"/>
    </w:rPr>
  </w:style>
  <w:style w:type="character" w:customStyle="1" w:styleId="110">
    <w:name w:val="Para head"/>
    <w:qFormat/>
    <w:uiPriority w:val="0"/>
    <w:rPr>
      <w:rFonts w:ascii="Arial" w:hAnsi="Arial" w:eastAsia="Times New Roman"/>
      <w:sz w:val="20"/>
    </w:rPr>
  </w:style>
  <w:style w:type="character" w:customStyle="1" w:styleId="111">
    <w:name w:val="Char Char2"/>
    <w:qFormat/>
    <w:uiPriority w:val="0"/>
    <w:rPr>
      <w:rFonts w:eastAsia="宋体"/>
      <w:kern w:val="2"/>
      <w:sz w:val="21"/>
      <w:szCs w:val="24"/>
      <w:lang w:val="en-US" w:eastAsia="zh-CN" w:bidi="ar-SA"/>
    </w:rPr>
  </w:style>
  <w:style w:type="character" w:customStyle="1" w:styleId="112">
    <w:name w:val="Char Char18"/>
    <w:qFormat/>
    <w:uiPriority w:val="0"/>
    <w:rPr>
      <w:b/>
      <w:bCs/>
      <w:kern w:val="44"/>
      <w:sz w:val="44"/>
      <w:szCs w:val="44"/>
    </w:rPr>
  </w:style>
  <w:style w:type="character" w:customStyle="1" w:styleId="113">
    <w:name w:val="批注文字 Char"/>
    <w:link w:val="17"/>
    <w:qFormat/>
    <w:uiPriority w:val="0"/>
    <w:rPr>
      <w:rFonts w:eastAsia="宋体"/>
      <w:kern w:val="2"/>
      <w:sz w:val="21"/>
      <w:szCs w:val="24"/>
      <w:lang w:val="en-US" w:eastAsia="zh-CN" w:bidi="ar-SA"/>
    </w:rPr>
  </w:style>
  <w:style w:type="character" w:customStyle="1" w:styleId="114">
    <w:name w:val="标题 9 Char"/>
    <w:link w:val="11"/>
    <w:qFormat/>
    <w:uiPriority w:val="0"/>
    <w:rPr>
      <w:rFonts w:ascii="Arial" w:hAnsi="Arial" w:eastAsia="黑体"/>
      <w:sz w:val="21"/>
      <w:szCs w:val="21"/>
      <w:lang w:val="en-US" w:eastAsia="zh-CN" w:bidi="ar-SA"/>
    </w:rPr>
  </w:style>
  <w:style w:type="character" w:customStyle="1" w:styleId="115">
    <w:name w:val="apple-converted-space"/>
    <w:qFormat/>
    <w:uiPriority w:val="0"/>
  </w:style>
  <w:style w:type="character" w:customStyle="1" w:styleId="116">
    <w:name w:val="批注主题 Char1"/>
    <w:qFormat/>
    <w:uiPriority w:val="0"/>
    <w:rPr>
      <w:b/>
      <w:bCs/>
      <w:kern w:val="2"/>
      <w:sz w:val="21"/>
      <w:szCs w:val="22"/>
    </w:rPr>
  </w:style>
  <w:style w:type="character" w:customStyle="1" w:styleId="117">
    <w:name w:val="Char Char"/>
    <w:qFormat/>
    <w:uiPriority w:val="0"/>
    <w:rPr>
      <w:rFonts w:ascii="Arial" w:hAnsi="Arial" w:eastAsia="黑体"/>
      <w:b/>
      <w:bCs/>
      <w:kern w:val="2"/>
      <w:sz w:val="32"/>
      <w:szCs w:val="32"/>
      <w:lang w:val="en-US" w:eastAsia="zh-CN" w:bidi="ar-SA"/>
    </w:rPr>
  </w:style>
  <w:style w:type="character" w:customStyle="1" w:styleId="118">
    <w:name w:val="Char Char9"/>
    <w:qFormat/>
    <w:uiPriority w:val="0"/>
    <w:rPr>
      <w:kern w:val="2"/>
      <w:sz w:val="21"/>
      <w:szCs w:val="22"/>
    </w:rPr>
  </w:style>
  <w:style w:type="character" w:customStyle="1" w:styleId="119">
    <w:name w:val="文档结构图 Char"/>
    <w:link w:val="16"/>
    <w:qFormat/>
    <w:uiPriority w:val="0"/>
    <w:rPr>
      <w:rFonts w:eastAsia="宋体"/>
      <w:kern w:val="2"/>
      <w:sz w:val="21"/>
      <w:szCs w:val="24"/>
      <w:lang w:val="en-US" w:eastAsia="zh-CN" w:bidi="ar-SA"/>
    </w:rPr>
  </w:style>
  <w:style w:type="character" w:customStyle="1" w:styleId="120">
    <w:name w:val="_Style 118"/>
    <w:qFormat/>
    <w:uiPriority w:val="0"/>
    <w:rPr>
      <w:smallCaps/>
      <w:color w:val="C0504D"/>
      <w:u w:val="single"/>
    </w:rPr>
  </w:style>
  <w:style w:type="character" w:customStyle="1" w:styleId="121">
    <w:name w:val="标题 4 Char"/>
    <w:qFormat/>
    <w:uiPriority w:val="0"/>
    <w:rPr>
      <w:rFonts w:eastAsia="宋体"/>
      <w:sz w:val="21"/>
      <w:lang w:val="en-US" w:eastAsia="zh-CN" w:bidi="ar-SA"/>
    </w:rPr>
  </w:style>
  <w:style w:type="character" w:customStyle="1" w:styleId="122">
    <w:name w:val="批注框文本 Char1"/>
    <w:qFormat/>
    <w:uiPriority w:val="0"/>
    <w:rPr>
      <w:kern w:val="2"/>
      <w:sz w:val="18"/>
      <w:szCs w:val="18"/>
    </w:rPr>
  </w:style>
  <w:style w:type="character" w:customStyle="1" w:styleId="123">
    <w:name w:val="浅色底纹 - 强调文字颜色 2 Char"/>
    <w:link w:val="93"/>
    <w:qFormat/>
    <w:uiPriority w:val="0"/>
    <w:rPr>
      <w:b/>
      <w:bCs/>
      <w:i/>
      <w:iCs/>
      <w:color w:val="4F81BD"/>
      <w:kern w:val="2"/>
      <w:sz w:val="21"/>
      <w:szCs w:val="22"/>
      <w:lang w:bidi="ar-SA"/>
    </w:rPr>
  </w:style>
  <w:style w:type="character" w:customStyle="1" w:styleId="124">
    <w:name w:val="textcontents"/>
    <w:qFormat/>
    <w:uiPriority w:val="0"/>
    <w:rPr>
      <w:rFonts w:cs="Times New Roman"/>
    </w:rPr>
  </w:style>
  <w:style w:type="character" w:customStyle="1" w:styleId="125">
    <w:name w:val="正文文本 Char"/>
    <w:link w:val="19"/>
    <w:qFormat/>
    <w:uiPriority w:val="0"/>
    <w:rPr>
      <w:rFonts w:eastAsia="宋体"/>
      <w:kern w:val="2"/>
      <w:sz w:val="21"/>
      <w:szCs w:val="24"/>
      <w:lang w:val="en-US" w:eastAsia="zh-CN" w:bidi="ar-SA"/>
    </w:rPr>
  </w:style>
  <w:style w:type="character" w:customStyle="1" w:styleId="126">
    <w:name w:val="标题 5 Char"/>
    <w:link w:val="7"/>
    <w:qFormat/>
    <w:uiPriority w:val="0"/>
    <w:rPr>
      <w:rFonts w:ascii="Calibri" w:hAnsi="Calibri" w:eastAsia="宋体"/>
      <w:b/>
      <w:bCs/>
      <w:kern w:val="2"/>
      <w:sz w:val="28"/>
      <w:szCs w:val="28"/>
      <w:lang w:val="en-US" w:eastAsia="zh-CN" w:bidi="ar-SA"/>
    </w:rPr>
  </w:style>
  <w:style w:type="character" w:customStyle="1" w:styleId="127">
    <w:name w:val="标题 3 Char"/>
    <w:link w:val="5"/>
    <w:qFormat/>
    <w:uiPriority w:val="0"/>
    <w:rPr>
      <w:rFonts w:eastAsia="宋体"/>
      <w:b/>
      <w:bCs/>
      <w:kern w:val="2"/>
      <w:sz w:val="32"/>
      <w:szCs w:val="32"/>
      <w:lang w:val="en-US" w:eastAsia="zh-CN" w:bidi="ar-SA"/>
    </w:rPr>
  </w:style>
  <w:style w:type="character" w:customStyle="1" w:styleId="128">
    <w:name w:val="页眉 Char Char"/>
    <w:qFormat/>
    <w:uiPriority w:val="0"/>
    <w:rPr>
      <w:rFonts w:eastAsia="宋体"/>
      <w:kern w:val="2"/>
      <w:sz w:val="18"/>
      <w:szCs w:val="18"/>
      <w:lang w:val="en-US" w:eastAsia="zh-CN" w:bidi="ar-SA"/>
    </w:rPr>
  </w:style>
  <w:style w:type="character" w:customStyle="1" w:styleId="129">
    <w:name w:val="正文缩进 Char"/>
    <w:link w:val="13"/>
    <w:qFormat/>
    <w:uiPriority w:val="0"/>
    <w:rPr>
      <w:rFonts w:eastAsia="宋体"/>
      <w:kern w:val="2"/>
      <w:sz w:val="21"/>
      <w:szCs w:val="24"/>
      <w:lang w:val="en-US" w:eastAsia="zh-CN" w:bidi="ar-SA"/>
    </w:rPr>
  </w:style>
  <w:style w:type="character" w:customStyle="1" w:styleId="130">
    <w:name w:val="Char Char7"/>
    <w:qFormat/>
    <w:uiPriority w:val="0"/>
    <w:rPr>
      <w:rFonts w:ascii="Arial" w:hAnsi="Arial" w:eastAsia="黑体"/>
      <w:b/>
      <w:bCs/>
      <w:kern w:val="2"/>
      <w:sz w:val="32"/>
      <w:szCs w:val="32"/>
      <w:lang w:val="en-US" w:eastAsia="zh-CN" w:bidi="ar-SA"/>
    </w:rPr>
  </w:style>
  <w:style w:type="character" w:customStyle="1" w:styleId="131">
    <w:name w:val="标题 1 Char"/>
    <w:link w:val="3"/>
    <w:qFormat/>
    <w:uiPriority w:val="0"/>
    <w:rPr>
      <w:rFonts w:eastAsia="宋体"/>
      <w:b/>
      <w:bCs/>
      <w:kern w:val="44"/>
      <w:sz w:val="44"/>
      <w:szCs w:val="44"/>
      <w:lang w:val="en-US" w:eastAsia="zh-CN" w:bidi="ar-SA"/>
    </w:rPr>
  </w:style>
  <w:style w:type="character" w:customStyle="1" w:styleId="132">
    <w:name w:val="纯文本 Char"/>
    <w:link w:val="26"/>
    <w:qFormat/>
    <w:uiPriority w:val="0"/>
    <w:rPr>
      <w:rFonts w:ascii="Courier New" w:hAnsi="Courier New" w:eastAsia="宋体"/>
      <w:kern w:val="2"/>
      <w:sz w:val="21"/>
      <w:lang w:val="en-US" w:eastAsia="zh-CN" w:bidi="ar-SA"/>
    </w:rPr>
  </w:style>
  <w:style w:type="character" w:customStyle="1" w:styleId="133">
    <w:name w:val="页眉 Char"/>
    <w:link w:val="32"/>
    <w:qFormat/>
    <w:uiPriority w:val="0"/>
    <w:rPr>
      <w:rFonts w:eastAsia="宋体"/>
      <w:kern w:val="2"/>
      <w:sz w:val="18"/>
      <w:szCs w:val="18"/>
      <w:lang w:val="en-US" w:eastAsia="zh-CN" w:bidi="ar-SA"/>
    </w:rPr>
  </w:style>
  <w:style w:type="character" w:customStyle="1" w:styleId="134">
    <w:name w:val="批注文字 Char Char"/>
    <w:qFormat/>
    <w:uiPriority w:val="0"/>
    <w:rPr>
      <w:rFonts w:ascii="宋体" w:hAnsi="Times New Roman" w:eastAsia="宋体" w:cs="Times New Roman"/>
      <w:sz w:val="28"/>
      <w:szCs w:val="20"/>
    </w:rPr>
  </w:style>
  <w:style w:type="character" w:customStyle="1" w:styleId="135">
    <w:name w:val="font161"/>
    <w:qFormat/>
    <w:uiPriority w:val="0"/>
    <w:rPr>
      <w:b/>
      <w:bCs/>
      <w:sz w:val="32"/>
      <w:szCs w:val="32"/>
    </w:rPr>
  </w:style>
  <w:style w:type="character" w:customStyle="1" w:styleId="136">
    <w:name w:val="标题4 Char Char"/>
    <w:link w:val="59"/>
    <w:qFormat/>
    <w:uiPriority w:val="0"/>
    <w:rPr>
      <w:rFonts w:ascii="Arial" w:hAnsi="Arial"/>
      <w:b/>
      <w:bCs/>
      <w:sz w:val="24"/>
      <w:szCs w:val="32"/>
      <w:lang w:bidi="ar-SA"/>
    </w:rPr>
  </w:style>
  <w:style w:type="character" w:customStyle="1" w:styleId="137">
    <w:name w:val="_Style 135"/>
    <w:qFormat/>
    <w:uiPriority w:val="0"/>
    <w:rPr>
      <w:b/>
      <w:bCs/>
      <w:smallCaps/>
      <w:spacing w:val="5"/>
    </w:rPr>
  </w:style>
  <w:style w:type="character" w:customStyle="1" w:styleId="138">
    <w:name w:val="副标题 Char"/>
    <w:link w:val="35"/>
    <w:qFormat/>
    <w:uiPriority w:val="0"/>
    <w:rPr>
      <w:rFonts w:ascii="Arial" w:hAnsi="Arial" w:eastAsia="黑体"/>
      <w:b/>
      <w:bCs/>
      <w:kern w:val="2"/>
      <w:sz w:val="32"/>
      <w:szCs w:val="32"/>
      <w:lang w:val="en-US" w:eastAsia="zh-CN" w:bidi="ar-SA"/>
    </w:rPr>
  </w:style>
  <w:style w:type="character" w:customStyle="1" w:styleId="139">
    <w:name w:val="标题 4 Char1"/>
    <w:link w:val="6"/>
    <w:qFormat/>
    <w:uiPriority w:val="0"/>
    <w:rPr>
      <w:rFonts w:ascii="Arial" w:hAnsi="Arial" w:eastAsia="黑体"/>
      <w:b/>
      <w:bCs/>
      <w:kern w:val="2"/>
      <w:sz w:val="28"/>
      <w:szCs w:val="28"/>
      <w:lang w:val="en-US" w:eastAsia="zh-CN" w:bidi="ar-SA"/>
    </w:rPr>
  </w:style>
  <w:style w:type="character" w:customStyle="1" w:styleId="140">
    <w:name w:val="_Style 138"/>
    <w:qFormat/>
    <w:uiPriority w:val="0"/>
    <w:rPr>
      <w:b/>
      <w:bCs/>
      <w:smallCaps/>
      <w:color w:val="C0504D"/>
      <w:spacing w:val="5"/>
      <w:u w:val="single"/>
    </w:rPr>
  </w:style>
  <w:style w:type="character" w:customStyle="1" w:styleId="141">
    <w:name w:val="_Style 139"/>
    <w:qFormat/>
    <w:uiPriority w:val="0"/>
    <w:rPr>
      <w:b/>
      <w:bCs/>
      <w:i/>
      <w:iCs/>
      <w:color w:val="4F81BD"/>
    </w:rPr>
  </w:style>
  <w:style w:type="character" w:customStyle="1" w:styleId="142">
    <w:name w:val="标题5 Char Char"/>
    <w:link w:val="76"/>
    <w:qFormat/>
    <w:uiPriority w:val="0"/>
    <w:rPr>
      <w:rFonts w:ascii="Arial" w:hAnsi="Arial"/>
      <w:b/>
      <w:bCs/>
      <w:sz w:val="24"/>
      <w:szCs w:val="32"/>
      <w:lang w:bidi="ar-SA"/>
    </w:rPr>
  </w:style>
  <w:style w:type="character" w:customStyle="1" w:styleId="143">
    <w:name w:val="文档结构图 Char1"/>
    <w:qFormat/>
    <w:uiPriority w:val="0"/>
    <w:rPr>
      <w:rFonts w:ascii="宋体"/>
      <w:kern w:val="2"/>
      <w:sz w:val="18"/>
      <w:szCs w:val="18"/>
    </w:rPr>
  </w:style>
  <w:style w:type="character" w:customStyle="1" w:styleId="144">
    <w:name w:val="Char Char17"/>
    <w:qFormat/>
    <w:uiPriority w:val="0"/>
    <w:rPr>
      <w:rFonts w:ascii="Cambria" w:hAnsi="Cambria" w:eastAsia="宋体" w:cs="Times New Roman"/>
      <w:b/>
      <w:bCs/>
      <w:kern w:val="2"/>
      <w:sz w:val="32"/>
      <w:szCs w:val="32"/>
    </w:rPr>
  </w:style>
  <w:style w:type="character" w:customStyle="1" w:styleId="145">
    <w:name w:val="标题 7 Char"/>
    <w:link w:val="9"/>
    <w:qFormat/>
    <w:uiPriority w:val="0"/>
    <w:rPr>
      <w:rFonts w:eastAsia="宋体"/>
      <w:b/>
      <w:bCs/>
      <w:sz w:val="24"/>
      <w:szCs w:val="24"/>
      <w:lang w:val="en-US" w:eastAsia="zh-CN" w:bidi="ar-SA"/>
    </w:rPr>
  </w:style>
  <w:style w:type="character" w:customStyle="1" w:styleId="146">
    <w:name w:val="标题 6 Char"/>
    <w:link w:val="8"/>
    <w:qFormat/>
    <w:uiPriority w:val="0"/>
    <w:rPr>
      <w:rFonts w:ascii="Arial" w:hAnsi="Arial" w:eastAsia="黑体"/>
      <w:b/>
      <w:bCs/>
      <w:sz w:val="24"/>
      <w:szCs w:val="24"/>
      <w:lang w:val="en-US" w:eastAsia="zh-CN" w:bidi="ar-SA"/>
    </w:rPr>
  </w:style>
  <w:style w:type="character" w:customStyle="1" w:styleId="147">
    <w:name w:val="标题 2 Char"/>
    <w:link w:val="4"/>
    <w:qFormat/>
    <w:uiPriority w:val="0"/>
    <w:rPr>
      <w:rFonts w:ascii="Arial" w:hAnsi="Arial" w:eastAsia="黑体"/>
      <w:b/>
      <w:bCs/>
      <w:kern w:val="2"/>
      <w:sz w:val="32"/>
      <w:szCs w:val="32"/>
      <w:lang w:val="en-US" w:eastAsia="zh-CN" w:bidi="ar-SA"/>
    </w:rPr>
  </w:style>
  <w:style w:type="character" w:customStyle="1" w:styleId="148">
    <w:name w:val="页脚 Char Char"/>
    <w:qFormat/>
    <w:uiPriority w:val="0"/>
    <w:rPr>
      <w:rFonts w:eastAsia="宋体"/>
      <w:kern w:val="2"/>
      <w:sz w:val="18"/>
      <w:szCs w:val="18"/>
      <w:lang w:val="en-US" w:eastAsia="zh-CN" w:bidi="ar-SA"/>
    </w:rPr>
  </w:style>
  <w:style w:type="character" w:customStyle="1" w:styleId="149">
    <w:name w:val="ask-title"/>
    <w:qFormat/>
    <w:uiPriority w:val="0"/>
  </w:style>
  <w:style w:type="character" w:customStyle="1" w:styleId="150">
    <w:name w:val="标题 8 Char"/>
    <w:link w:val="10"/>
    <w:qFormat/>
    <w:uiPriority w:val="0"/>
    <w:rPr>
      <w:rFonts w:ascii="Arial" w:hAnsi="Arial" w:eastAsia="黑体"/>
      <w:sz w:val="24"/>
      <w:szCs w:val="24"/>
      <w:lang w:val="en-US" w:eastAsia="zh-CN" w:bidi="ar-SA"/>
    </w:rPr>
  </w:style>
  <w:style w:type="character" w:customStyle="1" w:styleId="151">
    <w:name w:val="font11"/>
    <w:qFormat/>
    <w:uiPriority w:val="0"/>
    <w:rPr>
      <w:rFonts w:hint="eastAsia" w:ascii="宋体" w:hAnsi="宋体" w:eastAsia="宋体" w:cs="宋体"/>
      <w:color w:val="000000"/>
      <w:sz w:val="20"/>
      <w:szCs w:val="20"/>
      <w:u w:val="none"/>
    </w:rPr>
  </w:style>
  <w:style w:type="character" w:customStyle="1" w:styleId="152">
    <w:name w:val="正文文本 Char1"/>
    <w:qFormat/>
    <w:uiPriority w:val="0"/>
    <w:rPr>
      <w:kern w:val="2"/>
      <w:sz w:val="21"/>
      <w:szCs w:val="22"/>
    </w:rPr>
  </w:style>
  <w:style w:type="character" w:customStyle="1" w:styleId="153">
    <w:name w:val="彩色网格 - 强调文字颜色 1 Char"/>
    <w:link w:val="69"/>
    <w:qFormat/>
    <w:uiPriority w:val="0"/>
    <w:rPr>
      <w:i/>
      <w:iCs/>
      <w:color w:val="000000"/>
      <w:kern w:val="2"/>
      <w:sz w:val="21"/>
      <w:szCs w:val="22"/>
      <w:lang w:bidi="ar-SA"/>
    </w:rPr>
  </w:style>
  <w:style w:type="character" w:customStyle="1" w:styleId="154">
    <w:name w:val="font01"/>
    <w:basedOn w:val="49"/>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9</Pages>
  <Words>4338</Words>
  <Characters>4738</Characters>
  <Lines>33</Lines>
  <Paragraphs>9</Paragraphs>
  <TotalTime>10</TotalTime>
  <ScaleCrop>false</ScaleCrop>
  <LinksUpToDate>false</LinksUpToDate>
  <CharactersWithSpaces>4816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2022-09-14T01:36:00Z</dcterms:created>
  <dc:creator>e510</dc:creator>
  <cp:lastModifiedBy>海阔天空</cp:lastModifiedBy>
  <cp:lastPrinted>2024-01-17T06:58:00Z</cp:lastPrinted>
  <dcterms:modified xsi:type="dcterms:W3CDTF">2025-01-08T01:17:07Z</dcterms:modified>
  <dc:title>中华人民共和国</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EF5EBA75EA99493297B9E9254575BC5D</vt:lpwstr>
  </property>
  <property fmtid="{D5CDD505-2E9C-101B-9397-08002B2CF9AE}" pid="4" name="commondata">
    <vt:lpwstr>eyJoZGlkIjoiYzYyNTAwNGI5NGU4MjY1MmYwNTViNmIzOWFjNTkxNzQifQ==</vt:lpwstr>
  </property>
  <property fmtid="{D5CDD505-2E9C-101B-9397-08002B2CF9AE}" pid="5" name="KSOTemplateDocerSaveRecord">
    <vt:lpwstr>eyJoZGlkIjoiMDU2MjA2Y2MwNmEzODc2YTQ3ZWVkNzQ0Y2ZhNGM0ZDEiLCJ1c2VySWQiOiIzNjE2MzA5ODAifQ==</vt:lpwstr>
  </property>
</Properties>
</file>