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52"/>
          <w:szCs w:val="52"/>
        </w:rPr>
      </w:pPr>
      <w:r>
        <w:rPr>
          <w:rFonts w:hint="eastAsia" w:asciiTheme="minorEastAsia" w:hAnsiTheme="minorEastAsia" w:eastAsiaTheme="minorEastAsia" w:cstheme="minorEastAsia"/>
          <w:kern w:val="1"/>
          <w:sz w:val="56"/>
          <w:szCs w:val="56"/>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38F9E9D"/>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38F9E9D"/>
                  </w:txbxContent>
                </v:textbox>
              </v:shape>
            </w:pict>
          </mc:Fallback>
        </mc:AlternateContent>
      </w:r>
      <w:r>
        <w:rPr>
          <w:rFonts w:hint="eastAsia" w:ascii="宋体" w:hAnsi="宋体" w:cs="宋体"/>
          <w:b/>
          <w:bCs/>
          <w:kern w:val="1"/>
          <w:sz w:val="52"/>
          <w:szCs w:val="52"/>
          <w:lang w:eastAsia="zh-CN"/>
        </w:rPr>
        <w:t>铜陵市观山名筑室外景观工程（南区）</w:t>
      </w:r>
      <w:r>
        <w:rPr>
          <w:rFonts w:hint="eastAsia" w:ascii="宋体" w:hAnsi="宋体" w:eastAsia="宋体" w:cs="宋体"/>
          <w:b/>
          <w:bCs/>
          <w:kern w:val="1"/>
          <w:sz w:val="52"/>
          <w:szCs w:val="52"/>
        </w:rPr>
        <w:t>--机械计时</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w:t>
      </w:r>
      <w:r>
        <w:rPr>
          <w:rFonts w:hint="eastAsia" w:asciiTheme="minorEastAsia" w:hAnsiTheme="minorEastAsia" w:eastAsiaTheme="minorEastAsia" w:cstheme="minorEastAsia"/>
          <w:b/>
          <w:bCs/>
          <w:sz w:val="28"/>
          <w:szCs w:val="28"/>
          <w:u w:val="single"/>
          <w:lang w:val="en-US" w:eastAsia="zh-CN"/>
        </w:rPr>
        <w:t>40</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u w:val="none"/>
        </w:rPr>
      </w:pPr>
      <w:r>
        <w:rPr>
          <w:rFonts w:hint="eastAsia" w:ascii="仿宋" w:hAnsi="仿宋" w:eastAsia="仿宋" w:cs="仿宋"/>
          <w:lang w:val="en-US" w:eastAsia="zh-CN"/>
        </w:rPr>
        <w:t>1、</w:t>
      </w: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u w:val="none"/>
          <w:lang w:eastAsia="zh-CN"/>
        </w:rPr>
        <w:t>铜陵市观山名筑室外景观工程（南区）</w:t>
      </w:r>
      <w:r>
        <w:rPr>
          <w:rFonts w:hint="eastAsia" w:ascii="仿宋" w:hAnsi="仿宋" w:eastAsia="仿宋" w:cs="仿宋"/>
          <w:b w:val="0"/>
          <w:bCs w:val="0"/>
          <w:kern w:val="1"/>
          <w:sz w:val="24"/>
          <w:szCs w:val="24"/>
          <w:u w:val="none"/>
        </w:rPr>
        <w:t>--机械计时</w:t>
      </w:r>
      <w:r>
        <w:rPr>
          <w:rFonts w:hint="eastAsia" w:ascii="仿宋" w:hAnsi="仿宋" w:eastAsia="仿宋" w:cs="仿宋"/>
          <w:u w:val="none"/>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lang w:eastAsia="zh-CN"/>
        </w:rPr>
        <w:t>铜陵市观山名筑室外景观工程（南区）</w:t>
      </w:r>
      <w:r>
        <w:rPr>
          <w:rFonts w:hint="eastAsia" w:ascii="仿宋" w:hAnsi="仿宋" w:eastAsia="仿宋" w:cs="仿宋"/>
          <w:b w:val="0"/>
          <w:bCs w:val="0"/>
          <w:kern w:val="1"/>
          <w:sz w:val="24"/>
          <w:szCs w:val="24"/>
          <w:u w:val="single"/>
        </w:rPr>
        <w:t>--机械计时</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159DB38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1B10B50">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铜陵市观山名筑室外景观工程（南区）</w:t>
      </w:r>
    </w:p>
    <w:p w14:paraId="26C002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工程地点：铜陵市长江路观山名筑小区</w:t>
      </w:r>
    </w:p>
    <w:p w14:paraId="3945128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工程内容：机械对现场土方进行开挖、回填、场地平整、土方厂区倒运、道路碾压等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计划工期：日历天数90天。（具体租期以建设单位安排的工作内容为准）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铜陵市观山名筑室外景观工程（南区）--机械计时询比采购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TGJA-JX-2025-040</w:t>
      </w:r>
      <w:bookmarkStart w:id="2" w:name="_GoBack"/>
      <w:bookmarkEnd w:id="2"/>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643"/>
        <w:gridCol w:w="2464"/>
        <w:gridCol w:w="1000"/>
        <w:gridCol w:w="1090"/>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643"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464"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0"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90"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95065BF">
            <w:pPr>
              <w:jc w:val="center"/>
              <w:rPr>
                <w:rFonts w:hint="eastAsia" w:ascii="仿宋" w:hAnsi="仿宋" w:eastAsia="仿宋" w:cs="仿宋"/>
                <w:b/>
                <w:sz w:val="24"/>
                <w:szCs w:val="24"/>
              </w:rPr>
            </w:pPr>
            <w:r>
              <w:rPr>
                <w:rFonts w:hint="eastAsia" w:ascii="仿宋" w:hAnsi="仿宋" w:eastAsia="仿宋" w:cs="仿宋"/>
                <w:b/>
                <w:bCs w:val="0"/>
                <w:sz w:val="24"/>
                <w:szCs w:val="24"/>
                <w:lang w:val="en-US" w:eastAsia="zh-CN"/>
              </w:rPr>
              <w:t>公司指导价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87" w:type="dxa"/>
            <w:vMerge w:val="continue"/>
            <w:noWrap w:val="0"/>
            <w:vAlign w:val="center"/>
          </w:tcPr>
          <w:p w14:paraId="785F4B5A">
            <w:pPr>
              <w:jc w:val="center"/>
              <w:rPr>
                <w:rFonts w:hint="eastAsia" w:ascii="仿宋" w:hAnsi="仿宋" w:eastAsia="仿宋" w:cs="仿宋"/>
                <w:b/>
                <w:sz w:val="24"/>
                <w:szCs w:val="24"/>
                <w:lang w:eastAsia="zh-CN"/>
              </w:rPr>
            </w:pPr>
          </w:p>
        </w:tc>
        <w:tc>
          <w:tcPr>
            <w:tcW w:w="1643" w:type="dxa"/>
            <w:vMerge w:val="continue"/>
            <w:noWrap w:val="0"/>
            <w:vAlign w:val="center"/>
          </w:tcPr>
          <w:p w14:paraId="4407F581">
            <w:pPr>
              <w:jc w:val="center"/>
              <w:rPr>
                <w:rFonts w:hint="eastAsia" w:ascii="仿宋" w:hAnsi="仿宋" w:eastAsia="仿宋" w:cs="仿宋"/>
                <w:b/>
                <w:sz w:val="24"/>
                <w:szCs w:val="24"/>
                <w:lang w:eastAsia="zh-CN"/>
              </w:rPr>
            </w:pPr>
          </w:p>
        </w:tc>
        <w:tc>
          <w:tcPr>
            <w:tcW w:w="2464" w:type="dxa"/>
            <w:vMerge w:val="continue"/>
            <w:noWrap w:val="0"/>
            <w:vAlign w:val="center"/>
          </w:tcPr>
          <w:p w14:paraId="246FD107">
            <w:pPr>
              <w:jc w:val="center"/>
              <w:rPr>
                <w:rFonts w:hint="eastAsia" w:ascii="仿宋" w:hAnsi="仿宋" w:eastAsia="仿宋" w:cs="仿宋"/>
                <w:b/>
                <w:sz w:val="24"/>
                <w:szCs w:val="24"/>
              </w:rPr>
            </w:pPr>
          </w:p>
        </w:tc>
        <w:tc>
          <w:tcPr>
            <w:tcW w:w="1000" w:type="dxa"/>
            <w:vMerge w:val="continue"/>
            <w:noWrap w:val="0"/>
            <w:vAlign w:val="center"/>
          </w:tcPr>
          <w:p w14:paraId="72EDC809">
            <w:pPr>
              <w:jc w:val="center"/>
              <w:rPr>
                <w:rFonts w:hint="eastAsia" w:ascii="仿宋" w:hAnsi="仿宋" w:eastAsia="仿宋" w:cs="仿宋"/>
                <w:b/>
                <w:sz w:val="24"/>
                <w:szCs w:val="24"/>
              </w:rPr>
            </w:pPr>
          </w:p>
        </w:tc>
        <w:tc>
          <w:tcPr>
            <w:tcW w:w="1090"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287" w:type="dxa"/>
            <w:noWrap w:val="0"/>
            <w:vAlign w:val="center"/>
          </w:tcPr>
          <w:p w14:paraId="75C8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sz w:val="22"/>
                <w:szCs w:val="22"/>
                <w:highlight w:val="none"/>
                <w:u w:val="none"/>
                <w:lang w:eastAsia="zh-CN"/>
              </w:rPr>
              <w:t>挖掘机</w:t>
            </w:r>
          </w:p>
        </w:tc>
        <w:tc>
          <w:tcPr>
            <w:tcW w:w="1643" w:type="dxa"/>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kern w:val="2"/>
                <w:sz w:val="21"/>
                <w:szCs w:val="21"/>
                <w:highlight w:val="none"/>
                <w:lang w:eastAsia="zh-CN" w:bidi="ar-SA"/>
              </w:rPr>
              <w:t>或轮式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14:paraId="67745BA3">
            <w:pPr>
              <w:keepNext w:val="0"/>
              <w:keepLines w:val="0"/>
              <w:widowControl/>
              <w:suppressLineNumbers w:val="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土方开挖、回填</w:t>
            </w:r>
          </w:p>
        </w:tc>
        <w:tc>
          <w:tcPr>
            <w:tcW w:w="1000" w:type="dxa"/>
            <w:noWrap w:val="0"/>
            <w:vAlign w:val="center"/>
          </w:tcPr>
          <w:p w14:paraId="4562503B">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14:paraId="0C0825A2">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eastAsia="zh-CN" w:bidi="ar"/>
              </w:rPr>
              <w:t>300</w:t>
            </w:r>
          </w:p>
        </w:tc>
        <w:tc>
          <w:tcPr>
            <w:tcW w:w="1712" w:type="dxa"/>
            <w:noWrap w:val="0"/>
            <w:vAlign w:val="center"/>
          </w:tcPr>
          <w:p w14:paraId="3576F19A">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120元/小时</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noWrap w:val="0"/>
            <w:vAlign w:val="center"/>
          </w:tcPr>
          <w:p w14:paraId="12E7F3EF">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sz w:val="22"/>
                <w:szCs w:val="22"/>
                <w:highlight w:val="none"/>
                <w:u w:val="none"/>
                <w:lang w:eastAsia="zh-CN"/>
              </w:rPr>
              <w:t>挖掘机</w:t>
            </w:r>
          </w:p>
        </w:tc>
        <w:tc>
          <w:tcPr>
            <w:tcW w:w="1643" w:type="dxa"/>
            <w:noWrap w:val="0"/>
            <w:vAlign w:val="center"/>
          </w:tcPr>
          <w:p w14:paraId="5CC40826">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14:paraId="64468A43">
            <w:pPr>
              <w:keepNext w:val="0"/>
              <w:keepLines w:val="0"/>
              <w:widowControl/>
              <w:numPr>
                <w:ilvl w:val="0"/>
                <w:numId w:val="0"/>
              </w:numPr>
              <w:suppressLineNumbers w:val="0"/>
              <w:ind w:left="0" w:lef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土方开挖、回填</w:t>
            </w:r>
          </w:p>
        </w:tc>
        <w:tc>
          <w:tcPr>
            <w:tcW w:w="1000" w:type="dxa"/>
            <w:noWrap w:val="0"/>
            <w:vAlign w:val="center"/>
          </w:tcPr>
          <w:p w14:paraId="0BA800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14:paraId="1FA8E02D">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160</w:t>
            </w:r>
          </w:p>
        </w:tc>
        <w:tc>
          <w:tcPr>
            <w:tcW w:w="1712" w:type="dxa"/>
            <w:noWrap w:val="0"/>
            <w:vAlign w:val="center"/>
          </w:tcPr>
          <w:p w14:paraId="41E4FE46">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225元/小时</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02" w:type="dxa"/>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noWrap w:val="0"/>
            <w:vAlign w:val="center"/>
          </w:tcPr>
          <w:p w14:paraId="5199B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highlight w:val="none"/>
                <w:lang w:val="en-US" w:eastAsia="zh-CN" w:bidi="ar-SA"/>
              </w:rPr>
              <w:t>捣机</w:t>
            </w:r>
          </w:p>
        </w:tc>
        <w:tc>
          <w:tcPr>
            <w:tcW w:w="1643" w:type="dxa"/>
            <w:noWrap w:val="0"/>
            <w:vAlign w:val="center"/>
          </w:tcPr>
          <w:p w14:paraId="34457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kern w:val="2"/>
                <w:sz w:val="21"/>
                <w:szCs w:val="21"/>
                <w:highlight w:val="none"/>
                <w:lang w:eastAsia="zh-CN" w:bidi="ar-SA"/>
              </w:rPr>
              <w:t>或轮式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14:paraId="0DBDE82F">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混凝土结构破碎</w:t>
            </w:r>
          </w:p>
        </w:tc>
        <w:tc>
          <w:tcPr>
            <w:tcW w:w="1000" w:type="dxa"/>
            <w:noWrap w:val="0"/>
            <w:vAlign w:val="center"/>
          </w:tcPr>
          <w:p w14:paraId="003B99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14:paraId="42B43071">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c>
          <w:tcPr>
            <w:tcW w:w="1712" w:type="dxa"/>
            <w:noWrap w:val="0"/>
            <w:vAlign w:val="center"/>
          </w:tcPr>
          <w:p w14:paraId="7F021D8F">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200元/小时</w:t>
            </w:r>
          </w:p>
        </w:tc>
        <w:tc>
          <w:tcPr>
            <w:tcW w:w="1500" w:type="dxa"/>
            <w:noWrap w:val="0"/>
            <w:vAlign w:val="center"/>
          </w:tcPr>
          <w:p w14:paraId="3E2542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3FF21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noWrap w:val="0"/>
            <w:vAlign w:val="center"/>
          </w:tcPr>
          <w:p w14:paraId="45D7C9D4">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highlight w:val="none"/>
                <w:lang w:val="en-US" w:eastAsia="zh-CN" w:bidi="ar-SA"/>
              </w:rPr>
              <w:t>捣机</w:t>
            </w:r>
          </w:p>
        </w:tc>
        <w:tc>
          <w:tcPr>
            <w:tcW w:w="1643" w:type="dxa"/>
            <w:noWrap w:val="0"/>
            <w:vAlign w:val="center"/>
          </w:tcPr>
          <w:p w14:paraId="32CA753F">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14:paraId="45E1F8EB">
            <w:pPr>
              <w:numPr>
                <w:ilvl w:val="0"/>
                <w:numId w:val="0"/>
              </w:numPr>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混凝土结构破碎</w:t>
            </w:r>
          </w:p>
        </w:tc>
        <w:tc>
          <w:tcPr>
            <w:tcW w:w="1000" w:type="dxa"/>
            <w:noWrap w:val="0"/>
            <w:vAlign w:val="center"/>
          </w:tcPr>
          <w:p w14:paraId="0FE1BB34">
            <w:pPr>
              <w:jc w:val="center"/>
              <w:rPr>
                <w:rFonts w:hint="eastAsia" w:ascii="仿宋" w:hAnsi="仿宋" w:eastAsia="仿宋" w:cs="仿宋"/>
                <w:kern w:val="2"/>
                <w:sz w:val="21"/>
                <w:szCs w:val="24"/>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14:paraId="203B09F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w:t>
            </w:r>
          </w:p>
        </w:tc>
        <w:tc>
          <w:tcPr>
            <w:tcW w:w="1712" w:type="dxa"/>
            <w:noWrap w:val="0"/>
            <w:vAlign w:val="center"/>
          </w:tcPr>
          <w:p w14:paraId="3D52BB91">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300元/小时</w:t>
            </w:r>
          </w:p>
        </w:tc>
        <w:tc>
          <w:tcPr>
            <w:tcW w:w="1500" w:type="dxa"/>
            <w:noWrap w:val="0"/>
            <w:vAlign w:val="center"/>
          </w:tcPr>
          <w:p w14:paraId="512592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10771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28FC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shd w:val="clear" w:color="auto" w:fill="auto"/>
            <w:noWrap w:val="0"/>
            <w:vAlign w:val="center"/>
          </w:tcPr>
          <w:p w14:paraId="7A95F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noWrap w:val="0"/>
            <w:vAlign w:val="center"/>
          </w:tcPr>
          <w:p w14:paraId="60C7CBDB">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推土机</w:t>
            </w:r>
          </w:p>
        </w:tc>
        <w:tc>
          <w:tcPr>
            <w:tcW w:w="1643" w:type="dxa"/>
            <w:noWrap w:val="0"/>
            <w:vAlign w:val="center"/>
          </w:tcPr>
          <w:p w14:paraId="7B119153">
            <w:pPr>
              <w:keepNext w:val="0"/>
              <w:keepLines w:val="0"/>
              <w:widowControl/>
              <w:suppressLineNumbers w:val="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SD120</w:t>
            </w:r>
          </w:p>
        </w:tc>
        <w:tc>
          <w:tcPr>
            <w:tcW w:w="2464" w:type="dxa"/>
            <w:noWrap w:val="0"/>
            <w:vAlign w:val="center"/>
          </w:tcPr>
          <w:p w14:paraId="1BAE0F50">
            <w:pPr>
              <w:keepNext w:val="0"/>
              <w:keepLines w:val="0"/>
              <w:widowControl/>
              <w:suppressLineNumbers w:val="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场地平整</w:t>
            </w:r>
          </w:p>
        </w:tc>
        <w:tc>
          <w:tcPr>
            <w:tcW w:w="1000" w:type="dxa"/>
            <w:noWrap w:val="0"/>
            <w:vAlign w:val="center"/>
          </w:tcPr>
          <w:p w14:paraId="7983CCD6">
            <w:pPr>
              <w:jc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14:paraId="189D21F4">
            <w:pPr>
              <w:jc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10</w:t>
            </w:r>
          </w:p>
        </w:tc>
        <w:tc>
          <w:tcPr>
            <w:tcW w:w="1712" w:type="dxa"/>
            <w:noWrap w:val="0"/>
            <w:vAlign w:val="center"/>
          </w:tcPr>
          <w:p w14:paraId="64C1B265">
            <w:pPr>
              <w:jc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180元/小时</w:t>
            </w:r>
          </w:p>
        </w:tc>
        <w:tc>
          <w:tcPr>
            <w:tcW w:w="1500" w:type="dxa"/>
            <w:noWrap w:val="0"/>
            <w:vAlign w:val="center"/>
          </w:tcPr>
          <w:p w14:paraId="17E88E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46F575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184BD8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710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shd w:val="clear" w:color="auto" w:fill="auto"/>
            <w:noWrap w:val="0"/>
            <w:vAlign w:val="center"/>
          </w:tcPr>
          <w:p w14:paraId="0C51E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noWrap w:val="0"/>
            <w:vAlign w:val="center"/>
          </w:tcPr>
          <w:p w14:paraId="520CFA15">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推土机</w:t>
            </w:r>
          </w:p>
        </w:tc>
        <w:tc>
          <w:tcPr>
            <w:tcW w:w="1643" w:type="dxa"/>
            <w:noWrap w:val="0"/>
            <w:vAlign w:val="center"/>
          </w:tcPr>
          <w:p w14:paraId="3A23A39C">
            <w:pPr>
              <w:keepNext w:val="0"/>
              <w:keepLines w:val="0"/>
              <w:widowControl/>
              <w:suppressLineNumbers w:val="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山推140</w:t>
            </w:r>
          </w:p>
        </w:tc>
        <w:tc>
          <w:tcPr>
            <w:tcW w:w="2464" w:type="dxa"/>
            <w:noWrap w:val="0"/>
            <w:vAlign w:val="center"/>
          </w:tcPr>
          <w:p w14:paraId="41D40111">
            <w:pPr>
              <w:keepNext w:val="0"/>
              <w:keepLines w:val="0"/>
              <w:widowControl/>
              <w:suppressLineNumbers w:val="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场地平整</w:t>
            </w:r>
          </w:p>
        </w:tc>
        <w:tc>
          <w:tcPr>
            <w:tcW w:w="1000" w:type="dxa"/>
            <w:noWrap w:val="0"/>
            <w:vAlign w:val="center"/>
          </w:tcPr>
          <w:p w14:paraId="6E9C2D6B">
            <w:pPr>
              <w:jc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14:paraId="376F93ED">
            <w:pPr>
              <w:jc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10</w:t>
            </w:r>
          </w:p>
        </w:tc>
        <w:tc>
          <w:tcPr>
            <w:tcW w:w="1712" w:type="dxa"/>
            <w:noWrap w:val="0"/>
            <w:vAlign w:val="center"/>
          </w:tcPr>
          <w:p w14:paraId="3D4E2AF6">
            <w:pPr>
              <w:jc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200元/小时</w:t>
            </w:r>
          </w:p>
        </w:tc>
        <w:tc>
          <w:tcPr>
            <w:tcW w:w="1500" w:type="dxa"/>
            <w:noWrap w:val="0"/>
            <w:vAlign w:val="center"/>
          </w:tcPr>
          <w:p w14:paraId="731BB2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0974D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3E06F1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03B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shd w:val="clear" w:color="auto" w:fill="auto"/>
            <w:noWrap w:val="0"/>
            <w:vAlign w:val="center"/>
          </w:tcPr>
          <w:p w14:paraId="796A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shd w:val="clear" w:color="auto" w:fill="auto"/>
            <w:noWrap w:val="0"/>
            <w:vAlign w:val="center"/>
          </w:tcPr>
          <w:p w14:paraId="52E3C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压路机</w:t>
            </w:r>
          </w:p>
          <w:p w14:paraId="7EE79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（振动）</w:t>
            </w:r>
          </w:p>
        </w:tc>
        <w:tc>
          <w:tcPr>
            <w:tcW w:w="1643" w:type="dxa"/>
            <w:shd w:val="clear" w:color="auto" w:fill="auto"/>
            <w:noWrap w:val="0"/>
            <w:vAlign w:val="center"/>
          </w:tcPr>
          <w:p w14:paraId="76A2A5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18T-20T</w:t>
            </w:r>
          </w:p>
        </w:tc>
        <w:tc>
          <w:tcPr>
            <w:tcW w:w="2464" w:type="dxa"/>
            <w:shd w:val="clear" w:color="auto" w:fill="auto"/>
            <w:noWrap w:val="0"/>
            <w:vAlign w:val="center"/>
          </w:tcPr>
          <w:p w14:paraId="6C2B43CF">
            <w:pPr>
              <w:numPr>
                <w:ilvl w:val="0"/>
                <w:numId w:val="0"/>
              </w:numPr>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路基处理分层碾压</w:t>
            </w:r>
          </w:p>
        </w:tc>
        <w:tc>
          <w:tcPr>
            <w:tcW w:w="1000" w:type="dxa"/>
            <w:shd w:val="clear" w:color="auto" w:fill="auto"/>
            <w:noWrap w:val="0"/>
            <w:vAlign w:val="center"/>
          </w:tcPr>
          <w:p w14:paraId="0D1E1580">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shd w:val="clear" w:color="auto" w:fill="auto"/>
            <w:noWrap w:val="0"/>
            <w:vAlign w:val="center"/>
          </w:tcPr>
          <w:p w14:paraId="4656052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c>
          <w:tcPr>
            <w:tcW w:w="1712" w:type="dxa"/>
            <w:shd w:val="clear" w:color="auto" w:fill="auto"/>
            <w:noWrap w:val="0"/>
            <w:vAlign w:val="center"/>
          </w:tcPr>
          <w:p w14:paraId="167B899C">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1100元/台班</w:t>
            </w:r>
          </w:p>
        </w:tc>
        <w:tc>
          <w:tcPr>
            <w:tcW w:w="1500" w:type="dxa"/>
            <w:noWrap w:val="0"/>
            <w:vAlign w:val="center"/>
          </w:tcPr>
          <w:p w14:paraId="2531FD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585D3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76CDC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9B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02" w:type="dxa"/>
            <w:shd w:val="clear" w:color="auto" w:fill="auto"/>
            <w:noWrap w:val="0"/>
            <w:vAlign w:val="center"/>
          </w:tcPr>
          <w:p w14:paraId="7D158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87" w:type="dxa"/>
            <w:shd w:val="clear" w:color="auto" w:fill="auto"/>
            <w:noWrap w:val="0"/>
            <w:vAlign w:val="center"/>
          </w:tcPr>
          <w:p w14:paraId="2C601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环保自卸汽车</w:t>
            </w:r>
          </w:p>
        </w:tc>
        <w:tc>
          <w:tcPr>
            <w:tcW w:w="1643" w:type="dxa"/>
            <w:shd w:val="clear" w:color="auto" w:fill="auto"/>
            <w:noWrap w:val="0"/>
            <w:vAlign w:val="center"/>
          </w:tcPr>
          <w:p w14:paraId="393DE6C0">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斗容量22</w:t>
            </w:r>
            <w:r>
              <w:rPr>
                <w:rFonts w:hint="eastAsia" w:ascii="仿宋" w:hAnsi="仿宋" w:eastAsia="仿宋" w:cs="仿宋"/>
                <w:i w:val="0"/>
                <w:color w:val="000000"/>
                <w:kern w:val="0"/>
                <w:sz w:val="24"/>
                <w:szCs w:val="24"/>
                <w:highlight w:val="none"/>
                <w:u w:val="none"/>
                <w:lang w:val="en-US" w:eastAsia="zh-CN" w:bidi="ar"/>
              </w:rPr>
              <w:t>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464" w:type="dxa"/>
            <w:shd w:val="clear" w:color="auto" w:fill="auto"/>
            <w:noWrap w:val="0"/>
            <w:vAlign w:val="center"/>
          </w:tcPr>
          <w:p w14:paraId="0888FE3A">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土方场内倒运</w:t>
            </w:r>
          </w:p>
        </w:tc>
        <w:tc>
          <w:tcPr>
            <w:tcW w:w="1000" w:type="dxa"/>
            <w:shd w:val="clear" w:color="auto" w:fill="auto"/>
            <w:noWrap w:val="0"/>
            <w:vAlign w:val="center"/>
          </w:tcPr>
          <w:p w14:paraId="598D1200">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shd w:val="clear" w:color="auto" w:fill="auto"/>
            <w:noWrap w:val="0"/>
            <w:vAlign w:val="center"/>
          </w:tcPr>
          <w:p w14:paraId="474FF765">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w:t>
            </w:r>
          </w:p>
        </w:tc>
        <w:tc>
          <w:tcPr>
            <w:tcW w:w="1712" w:type="dxa"/>
            <w:shd w:val="clear" w:color="auto" w:fill="auto"/>
            <w:noWrap w:val="0"/>
            <w:vAlign w:val="center"/>
          </w:tcPr>
          <w:p w14:paraId="7F9C0D52">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1500元/台班</w:t>
            </w:r>
          </w:p>
        </w:tc>
        <w:tc>
          <w:tcPr>
            <w:tcW w:w="1500" w:type="dxa"/>
            <w:noWrap w:val="0"/>
            <w:vAlign w:val="center"/>
          </w:tcPr>
          <w:p w14:paraId="1CBC37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45FFF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28E97D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EBB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02" w:type="dxa"/>
            <w:noWrap w:val="0"/>
            <w:vAlign w:val="center"/>
          </w:tcPr>
          <w:p w14:paraId="1475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87" w:type="dxa"/>
            <w:shd w:val="clear" w:color="auto" w:fill="auto"/>
            <w:noWrap w:val="0"/>
            <w:vAlign w:val="center"/>
          </w:tcPr>
          <w:p w14:paraId="1C060D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环保自卸汽车</w:t>
            </w:r>
          </w:p>
        </w:tc>
        <w:tc>
          <w:tcPr>
            <w:tcW w:w="1643" w:type="dxa"/>
            <w:shd w:val="clear" w:color="auto" w:fill="auto"/>
            <w:noWrap w:val="0"/>
            <w:vAlign w:val="center"/>
          </w:tcPr>
          <w:p w14:paraId="7E8CF5E0">
            <w:pPr>
              <w:keepNext w:val="0"/>
              <w:keepLines w:val="0"/>
              <w:widowControl/>
              <w:suppressLineNumbers w:val="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斗容量10</w:t>
            </w:r>
            <w:r>
              <w:rPr>
                <w:rFonts w:hint="eastAsia" w:ascii="仿宋" w:hAnsi="仿宋" w:eastAsia="仿宋" w:cs="仿宋"/>
                <w:i w:val="0"/>
                <w:color w:val="000000"/>
                <w:kern w:val="0"/>
                <w:sz w:val="24"/>
                <w:szCs w:val="24"/>
                <w:highlight w:val="none"/>
                <w:u w:val="none"/>
                <w:lang w:val="en-US" w:eastAsia="zh-CN" w:bidi="ar"/>
              </w:rPr>
              <w:t>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464" w:type="dxa"/>
            <w:shd w:val="clear" w:color="auto" w:fill="auto"/>
            <w:noWrap w:val="0"/>
            <w:vAlign w:val="center"/>
          </w:tcPr>
          <w:p w14:paraId="223D48CE">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土方场内倒运</w:t>
            </w:r>
          </w:p>
        </w:tc>
        <w:tc>
          <w:tcPr>
            <w:tcW w:w="1000" w:type="dxa"/>
            <w:shd w:val="clear" w:color="auto" w:fill="auto"/>
            <w:noWrap w:val="0"/>
            <w:vAlign w:val="center"/>
          </w:tcPr>
          <w:p w14:paraId="629B834F">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shd w:val="clear" w:color="auto" w:fill="auto"/>
            <w:noWrap w:val="0"/>
            <w:vAlign w:val="center"/>
          </w:tcPr>
          <w:p w14:paraId="395DEF32">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c>
          <w:tcPr>
            <w:tcW w:w="1712" w:type="dxa"/>
            <w:shd w:val="clear" w:color="auto" w:fill="auto"/>
            <w:noWrap w:val="0"/>
            <w:vAlign w:val="center"/>
          </w:tcPr>
          <w:p w14:paraId="7A81FA9A">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900元/台班</w:t>
            </w:r>
          </w:p>
        </w:tc>
        <w:tc>
          <w:tcPr>
            <w:tcW w:w="1500" w:type="dxa"/>
            <w:noWrap w:val="0"/>
            <w:vAlign w:val="center"/>
          </w:tcPr>
          <w:p w14:paraId="7E5ED3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077F7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28797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838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14:paraId="6E42F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287" w:type="dxa"/>
            <w:shd w:val="clear" w:color="auto" w:fill="auto"/>
            <w:noWrap w:val="0"/>
            <w:vAlign w:val="center"/>
          </w:tcPr>
          <w:p w14:paraId="7F97D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农用车</w:t>
            </w:r>
          </w:p>
        </w:tc>
        <w:tc>
          <w:tcPr>
            <w:tcW w:w="1643" w:type="dxa"/>
            <w:shd w:val="clear" w:color="auto" w:fill="auto"/>
            <w:noWrap w:val="0"/>
            <w:vAlign w:val="center"/>
          </w:tcPr>
          <w:p w14:paraId="2F414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斗容量8</w:t>
            </w:r>
            <w:r>
              <w:rPr>
                <w:rFonts w:hint="eastAsia" w:ascii="仿宋" w:hAnsi="仿宋" w:eastAsia="仿宋" w:cs="仿宋"/>
                <w:i w:val="0"/>
                <w:color w:val="000000"/>
                <w:kern w:val="0"/>
                <w:sz w:val="24"/>
                <w:szCs w:val="24"/>
                <w:highlight w:val="none"/>
                <w:u w:val="none"/>
                <w:lang w:val="en-US" w:eastAsia="zh-CN" w:bidi="ar"/>
              </w:rPr>
              <w:t>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464" w:type="dxa"/>
            <w:shd w:val="clear" w:color="auto" w:fill="auto"/>
            <w:noWrap w:val="0"/>
            <w:vAlign w:val="center"/>
          </w:tcPr>
          <w:p w14:paraId="62B2E060">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土方场内倒运</w:t>
            </w:r>
          </w:p>
        </w:tc>
        <w:tc>
          <w:tcPr>
            <w:tcW w:w="1000" w:type="dxa"/>
            <w:shd w:val="clear" w:color="auto" w:fill="auto"/>
            <w:noWrap w:val="0"/>
            <w:vAlign w:val="center"/>
          </w:tcPr>
          <w:p w14:paraId="7EB924B4">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shd w:val="clear" w:color="auto" w:fill="auto"/>
            <w:noWrap w:val="0"/>
            <w:vAlign w:val="center"/>
          </w:tcPr>
          <w:p w14:paraId="3950494E">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40</w:t>
            </w:r>
          </w:p>
        </w:tc>
        <w:tc>
          <w:tcPr>
            <w:tcW w:w="1712" w:type="dxa"/>
            <w:shd w:val="clear" w:color="auto" w:fill="auto"/>
            <w:noWrap w:val="0"/>
            <w:vAlign w:val="center"/>
          </w:tcPr>
          <w:p w14:paraId="103BF5A8">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528元/台班</w:t>
            </w:r>
          </w:p>
        </w:tc>
        <w:tc>
          <w:tcPr>
            <w:tcW w:w="1500" w:type="dxa"/>
            <w:noWrap w:val="0"/>
            <w:vAlign w:val="center"/>
          </w:tcPr>
          <w:p w14:paraId="2B80FF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14:paraId="55E5D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4FDC2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096"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802"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158920.00元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3B5E327">
      <w:pPr>
        <w:spacing w:line="400" w:lineRule="exact"/>
        <w:rPr>
          <w:rFonts w:hint="eastAsia" w:ascii="仿宋" w:hAnsi="仿宋" w:eastAsia="仿宋" w:cs="仿宋"/>
          <w:sz w:val="28"/>
          <w:szCs w:val="28"/>
          <w:lang w:eastAsia="zh-CN"/>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0315A4"/>
    <w:rsid w:val="025370AD"/>
    <w:rsid w:val="03980C9F"/>
    <w:rsid w:val="03E75026"/>
    <w:rsid w:val="04BB57CD"/>
    <w:rsid w:val="04CF6EEC"/>
    <w:rsid w:val="05103A0B"/>
    <w:rsid w:val="05BF33B5"/>
    <w:rsid w:val="084A3F14"/>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DDD049E"/>
    <w:rsid w:val="0E6F3E7F"/>
    <w:rsid w:val="0E745939"/>
    <w:rsid w:val="0E8044EC"/>
    <w:rsid w:val="0E876D2F"/>
    <w:rsid w:val="0EC82FD7"/>
    <w:rsid w:val="0EF425D6"/>
    <w:rsid w:val="0FAA00FB"/>
    <w:rsid w:val="10181623"/>
    <w:rsid w:val="11196324"/>
    <w:rsid w:val="122F7967"/>
    <w:rsid w:val="125E4C7B"/>
    <w:rsid w:val="12883761"/>
    <w:rsid w:val="12A820AD"/>
    <w:rsid w:val="14AE3227"/>
    <w:rsid w:val="1500314F"/>
    <w:rsid w:val="15721970"/>
    <w:rsid w:val="16D01498"/>
    <w:rsid w:val="172F68A1"/>
    <w:rsid w:val="178D16D0"/>
    <w:rsid w:val="17D86D23"/>
    <w:rsid w:val="1830291B"/>
    <w:rsid w:val="187417C5"/>
    <w:rsid w:val="18AF15FD"/>
    <w:rsid w:val="198C1092"/>
    <w:rsid w:val="19CA6206"/>
    <w:rsid w:val="1A2F05AD"/>
    <w:rsid w:val="1AE5658C"/>
    <w:rsid w:val="1B7B6D63"/>
    <w:rsid w:val="1BBF797C"/>
    <w:rsid w:val="1C602FB9"/>
    <w:rsid w:val="1C865229"/>
    <w:rsid w:val="1CD221A8"/>
    <w:rsid w:val="1D6F4C43"/>
    <w:rsid w:val="1DEE2CCA"/>
    <w:rsid w:val="20191E9C"/>
    <w:rsid w:val="2037683E"/>
    <w:rsid w:val="20BD6CCC"/>
    <w:rsid w:val="20F57ADE"/>
    <w:rsid w:val="21A61547"/>
    <w:rsid w:val="225C0752"/>
    <w:rsid w:val="23FC26F5"/>
    <w:rsid w:val="246E6DF4"/>
    <w:rsid w:val="24F240EB"/>
    <w:rsid w:val="25590EC9"/>
    <w:rsid w:val="25F7787F"/>
    <w:rsid w:val="26211AAB"/>
    <w:rsid w:val="26996894"/>
    <w:rsid w:val="26A26CEB"/>
    <w:rsid w:val="26C40F4A"/>
    <w:rsid w:val="27F95E40"/>
    <w:rsid w:val="295D3061"/>
    <w:rsid w:val="29606D8E"/>
    <w:rsid w:val="299D4A4C"/>
    <w:rsid w:val="29A812EF"/>
    <w:rsid w:val="2A1902C2"/>
    <w:rsid w:val="2A9C0C1B"/>
    <w:rsid w:val="2C64541C"/>
    <w:rsid w:val="2C7C5C8D"/>
    <w:rsid w:val="2C995D0F"/>
    <w:rsid w:val="2D3E7816"/>
    <w:rsid w:val="2D774259"/>
    <w:rsid w:val="2F000DF7"/>
    <w:rsid w:val="2F065CE2"/>
    <w:rsid w:val="2F29557C"/>
    <w:rsid w:val="2F6C023B"/>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3510CF"/>
    <w:rsid w:val="354F3A99"/>
    <w:rsid w:val="357B16F3"/>
    <w:rsid w:val="36050FAB"/>
    <w:rsid w:val="367256CF"/>
    <w:rsid w:val="373B612C"/>
    <w:rsid w:val="37AF03D6"/>
    <w:rsid w:val="37EE64F4"/>
    <w:rsid w:val="37FC4126"/>
    <w:rsid w:val="382E02B2"/>
    <w:rsid w:val="3872263A"/>
    <w:rsid w:val="39934616"/>
    <w:rsid w:val="39DC7C3B"/>
    <w:rsid w:val="3A3173ED"/>
    <w:rsid w:val="3A4E69FC"/>
    <w:rsid w:val="3A5B4645"/>
    <w:rsid w:val="3A7A3727"/>
    <w:rsid w:val="3AE80991"/>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A70A2B"/>
    <w:rsid w:val="42F63800"/>
    <w:rsid w:val="4304767F"/>
    <w:rsid w:val="434963F7"/>
    <w:rsid w:val="439F612A"/>
    <w:rsid w:val="43C84B06"/>
    <w:rsid w:val="441344E9"/>
    <w:rsid w:val="44842956"/>
    <w:rsid w:val="449E657A"/>
    <w:rsid w:val="44B922E9"/>
    <w:rsid w:val="454315E6"/>
    <w:rsid w:val="45EF7078"/>
    <w:rsid w:val="46045E94"/>
    <w:rsid w:val="465E02D2"/>
    <w:rsid w:val="466979AB"/>
    <w:rsid w:val="471400CF"/>
    <w:rsid w:val="47944AB8"/>
    <w:rsid w:val="48BF72F3"/>
    <w:rsid w:val="490E63A6"/>
    <w:rsid w:val="499C3073"/>
    <w:rsid w:val="499D4ACB"/>
    <w:rsid w:val="49EC0EA9"/>
    <w:rsid w:val="4A1C7E79"/>
    <w:rsid w:val="4ABB0329"/>
    <w:rsid w:val="4CBA4AF2"/>
    <w:rsid w:val="4CEB320D"/>
    <w:rsid w:val="4D0647CF"/>
    <w:rsid w:val="4D9F7BB9"/>
    <w:rsid w:val="4E822997"/>
    <w:rsid w:val="4ED20DFA"/>
    <w:rsid w:val="4F0F5DA2"/>
    <w:rsid w:val="4F397E6D"/>
    <w:rsid w:val="504C2BE7"/>
    <w:rsid w:val="51825669"/>
    <w:rsid w:val="51B50E5A"/>
    <w:rsid w:val="51F67AC6"/>
    <w:rsid w:val="522C3B55"/>
    <w:rsid w:val="52534714"/>
    <w:rsid w:val="526C1FF2"/>
    <w:rsid w:val="5322748C"/>
    <w:rsid w:val="53810440"/>
    <w:rsid w:val="554830C1"/>
    <w:rsid w:val="56300C76"/>
    <w:rsid w:val="5641748B"/>
    <w:rsid w:val="56424FA2"/>
    <w:rsid w:val="56B4262E"/>
    <w:rsid w:val="573963A5"/>
    <w:rsid w:val="57715B3F"/>
    <w:rsid w:val="579C59EC"/>
    <w:rsid w:val="5807041D"/>
    <w:rsid w:val="583F79D3"/>
    <w:rsid w:val="58691989"/>
    <w:rsid w:val="58C048EF"/>
    <w:rsid w:val="58C6010C"/>
    <w:rsid w:val="58F960F8"/>
    <w:rsid w:val="59415768"/>
    <w:rsid w:val="594F7761"/>
    <w:rsid w:val="59672964"/>
    <w:rsid w:val="59900C4D"/>
    <w:rsid w:val="59C935F6"/>
    <w:rsid w:val="5A251A57"/>
    <w:rsid w:val="5A947382"/>
    <w:rsid w:val="5ABC477B"/>
    <w:rsid w:val="5AD47530"/>
    <w:rsid w:val="5BCF72D8"/>
    <w:rsid w:val="5C1E1084"/>
    <w:rsid w:val="5C775650"/>
    <w:rsid w:val="5C974AF9"/>
    <w:rsid w:val="5CF3349A"/>
    <w:rsid w:val="5D2E44D2"/>
    <w:rsid w:val="5D6F64C5"/>
    <w:rsid w:val="5E4044BD"/>
    <w:rsid w:val="5ED81A2D"/>
    <w:rsid w:val="5F797C86"/>
    <w:rsid w:val="601B5879"/>
    <w:rsid w:val="60F035C2"/>
    <w:rsid w:val="610267D6"/>
    <w:rsid w:val="616C0C8E"/>
    <w:rsid w:val="61AB07CC"/>
    <w:rsid w:val="624F4CCE"/>
    <w:rsid w:val="626C4E3A"/>
    <w:rsid w:val="62B53CBA"/>
    <w:rsid w:val="63584057"/>
    <w:rsid w:val="63DD2403"/>
    <w:rsid w:val="63E45615"/>
    <w:rsid w:val="642E3C33"/>
    <w:rsid w:val="646474F6"/>
    <w:rsid w:val="6502071E"/>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4F21E3"/>
    <w:rsid w:val="6B9B2799"/>
    <w:rsid w:val="6C5C5C5B"/>
    <w:rsid w:val="6C717289"/>
    <w:rsid w:val="6CB653F2"/>
    <w:rsid w:val="6D505D9E"/>
    <w:rsid w:val="6E4C64BB"/>
    <w:rsid w:val="6EAE74F5"/>
    <w:rsid w:val="6EC238BC"/>
    <w:rsid w:val="6F0B6C96"/>
    <w:rsid w:val="6F2A019B"/>
    <w:rsid w:val="6F6A27B8"/>
    <w:rsid w:val="6FE32681"/>
    <w:rsid w:val="701F3363"/>
    <w:rsid w:val="703849D5"/>
    <w:rsid w:val="71091B6B"/>
    <w:rsid w:val="711712EF"/>
    <w:rsid w:val="71900E5F"/>
    <w:rsid w:val="73C05A2C"/>
    <w:rsid w:val="742F60FC"/>
    <w:rsid w:val="74924E27"/>
    <w:rsid w:val="749B0247"/>
    <w:rsid w:val="74B57A97"/>
    <w:rsid w:val="74C57072"/>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87181E"/>
    <w:rsid w:val="79BD5174"/>
    <w:rsid w:val="79EE2BC7"/>
    <w:rsid w:val="7A562872"/>
    <w:rsid w:val="7AB7E244"/>
    <w:rsid w:val="7AEE7323"/>
    <w:rsid w:val="7B8D7C88"/>
    <w:rsid w:val="7C252C88"/>
    <w:rsid w:val="7C7123FD"/>
    <w:rsid w:val="7C870086"/>
    <w:rsid w:val="7C9F3CAC"/>
    <w:rsid w:val="7CA53A11"/>
    <w:rsid w:val="7CE22FC4"/>
    <w:rsid w:val="7CF809B2"/>
    <w:rsid w:val="7CFE0DF7"/>
    <w:rsid w:val="7D007C96"/>
    <w:rsid w:val="7E065567"/>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9</Pages>
  <Words>3674</Words>
  <Characters>4072</Characters>
  <Lines>56</Lines>
  <Paragraphs>15</Paragraphs>
  <TotalTime>1</TotalTime>
  <ScaleCrop>false</ScaleCrop>
  <LinksUpToDate>false</LinksUpToDate>
  <CharactersWithSpaces>4354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梵麓</cp:lastModifiedBy>
  <cp:lastPrinted>2019-04-18T07:02:00Z</cp:lastPrinted>
  <dcterms:modified xsi:type="dcterms:W3CDTF">2025-06-26T03:12:54Z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