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铜阳极泥处理系统升级改造扩建项目土建工程</w:t>
      </w:r>
      <w:r>
        <w:rPr>
          <w:rFonts w:hint="eastAsia" w:ascii="宋体" w:hAnsi="宋体" w:cs="宋体"/>
          <w:b/>
          <w:bCs/>
          <w:kern w:val="1"/>
          <w:sz w:val="40"/>
          <w:szCs w:val="40"/>
          <w:lang w:val="en-US" w:eastAsia="zh-CN"/>
        </w:rPr>
        <w:t>-汽车吊</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54</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铜阳极泥处理系统升级改造扩建项目土建工程</w:t>
      </w:r>
      <w:r>
        <w:rPr>
          <w:rFonts w:hint="eastAsia" w:ascii="仿宋" w:hAnsi="仿宋" w:eastAsia="仿宋" w:cs="仿宋"/>
          <w:b/>
          <w:bCs/>
          <w:sz w:val="24"/>
          <w:szCs w:val="24"/>
          <w:u w:val="none"/>
          <w:lang w:val="en-US" w:eastAsia="zh-CN"/>
        </w:rPr>
        <w:t>-汽车吊租赁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铜阳极泥处理系统升级改造扩建项目土建工程</w:t>
      </w:r>
      <w:r>
        <w:rPr>
          <w:rFonts w:hint="eastAsia" w:ascii="仿宋" w:hAnsi="仿宋" w:eastAsia="仿宋" w:cs="仿宋"/>
          <w:sz w:val="24"/>
          <w:szCs w:val="24"/>
          <w:u w:val="single"/>
          <w:lang w:val="en-US" w:eastAsia="zh-CN"/>
        </w:rPr>
        <w:t>-汽车吊租赁（详见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w:t>
      </w:r>
      <w:r>
        <w:rPr>
          <w:rFonts w:hint="eastAsia" w:ascii="仿宋" w:hAnsi="仿宋" w:eastAsia="仿宋" w:cs="仿宋"/>
          <w:sz w:val="24"/>
          <w:szCs w:val="24"/>
          <w:lang w:val="en-US" w:eastAsia="zh-CN"/>
        </w:rPr>
        <w:t>商</w:t>
      </w:r>
      <w:bookmarkStart w:id="2" w:name="_GoBack"/>
      <w:bookmarkEnd w:id="2"/>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29</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铜阳极泥处理系统升级改造扩建项目土建工程</w:t>
      </w:r>
      <w:r>
        <w:rPr>
          <w:rFonts w:hint="eastAsia" w:ascii="仿宋" w:hAnsi="仿宋" w:eastAsia="仿宋" w:cs="仿宋"/>
          <w:sz w:val="24"/>
          <w:szCs w:val="24"/>
          <w:lang w:val="en-US" w:eastAsia="zh-CN"/>
        </w:rPr>
        <w:t>-汽车吊租赁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）工程内容：施工起重作业、施工材料垂直运输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7FA972D4">
      <w:pPr>
        <w:spacing w:line="360" w:lineRule="auto"/>
        <w:jc w:val="center"/>
        <w:rPr>
          <w:rFonts w:hint="eastAsia" w:ascii="仿宋" w:hAnsi="仿宋" w:eastAsia="仿宋" w:cs="仿宋"/>
          <w:b/>
          <w:sz w:val="24"/>
          <w:szCs w:val="24"/>
        </w:rPr>
      </w:pPr>
    </w:p>
    <w:p w14:paraId="20543B6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233D41FD">
      <w:pPr>
        <w:spacing w:line="360" w:lineRule="auto"/>
        <w:jc w:val="center"/>
        <w:rPr>
          <w:rFonts w:hint="eastAsia" w:ascii="仿宋" w:hAnsi="仿宋" w:eastAsia="仿宋" w:cs="仿宋"/>
          <w:b/>
          <w:sz w:val="24"/>
          <w:szCs w:val="24"/>
        </w:rPr>
      </w:pPr>
    </w:p>
    <w:p w14:paraId="53DA55DD">
      <w:pPr>
        <w:spacing w:line="360" w:lineRule="auto"/>
        <w:jc w:val="center"/>
        <w:rPr>
          <w:rFonts w:hint="eastAsia" w:ascii="仿宋" w:hAnsi="仿宋" w:eastAsia="仿宋" w:cs="仿宋"/>
          <w:b/>
          <w:sz w:val="24"/>
          <w:szCs w:val="24"/>
        </w:rPr>
      </w:pPr>
    </w:p>
    <w:p w14:paraId="7D0564B7">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铜阳极泥处理系统升级改造扩建项目土建工程-汽车吊租赁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TGJA-JX-2025-054</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168"/>
        <w:gridCol w:w="792"/>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168"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92"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168" w:type="dxa"/>
            <w:vMerge w:val="continue"/>
            <w:noWrap w:val="0"/>
            <w:vAlign w:val="center"/>
          </w:tcPr>
          <w:p w14:paraId="246FD107">
            <w:pPr>
              <w:jc w:val="center"/>
              <w:rPr>
                <w:rFonts w:hint="eastAsia" w:ascii="仿宋" w:hAnsi="仿宋" w:eastAsia="仿宋" w:cs="仿宋"/>
                <w:b/>
                <w:sz w:val="24"/>
                <w:szCs w:val="24"/>
              </w:rPr>
            </w:pPr>
          </w:p>
        </w:tc>
        <w:tc>
          <w:tcPr>
            <w:tcW w:w="792"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50t</w:t>
            </w:r>
          </w:p>
        </w:tc>
        <w:tc>
          <w:tcPr>
            <w:tcW w:w="3168" w:type="dxa"/>
            <w:shd w:val="clear" w:color="auto" w:fill="auto"/>
            <w:noWrap w:val="0"/>
            <w:vAlign w:val="center"/>
          </w:tcPr>
          <w:p w14:paraId="12802406">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4562503B">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1887元/台班</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70</w:t>
            </w:r>
            <w:r>
              <w:rPr>
                <w:rFonts w:hint="default" w:ascii="Times New Roman" w:hAnsi="Times New Roman" w:eastAsia="宋体"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4EF334A1">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2453元/台班</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5C93E09E">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25t</w:t>
            </w:r>
          </w:p>
        </w:tc>
        <w:tc>
          <w:tcPr>
            <w:tcW w:w="3168" w:type="dxa"/>
            <w:shd w:val="clear" w:color="auto" w:fill="auto"/>
            <w:noWrap w:val="0"/>
            <w:vAlign w:val="center"/>
          </w:tcPr>
          <w:p w14:paraId="6FD0070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月</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29000元/月</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144800.00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1、以上限价含施工中发生的一切施工措施费：如人工、材料、机械（含进出场）、措施费、管理费、利润等其它一切规费及风险费用，为此项工作内容施工发生的发生的一切费用。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026C701">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672BA1"/>
    <w:rsid w:val="0DCB52A1"/>
    <w:rsid w:val="0DEC109E"/>
    <w:rsid w:val="0E6F3E7F"/>
    <w:rsid w:val="0E745939"/>
    <w:rsid w:val="0E8044EC"/>
    <w:rsid w:val="0E876D2F"/>
    <w:rsid w:val="0EA77E38"/>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B207B5"/>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DC96B69"/>
    <w:rsid w:val="4E822997"/>
    <w:rsid w:val="4ED20DFA"/>
    <w:rsid w:val="4F0F5DA2"/>
    <w:rsid w:val="4F397E6D"/>
    <w:rsid w:val="50114BE8"/>
    <w:rsid w:val="50180815"/>
    <w:rsid w:val="504C2BE7"/>
    <w:rsid w:val="50B25A3B"/>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267F5"/>
    <w:rsid w:val="71091B6B"/>
    <w:rsid w:val="711712EF"/>
    <w:rsid w:val="71900E5F"/>
    <w:rsid w:val="742F60FC"/>
    <w:rsid w:val="74924E27"/>
    <w:rsid w:val="749B0247"/>
    <w:rsid w:val="74B57A97"/>
    <w:rsid w:val="75AB7FC4"/>
    <w:rsid w:val="75BA021D"/>
    <w:rsid w:val="76257065"/>
    <w:rsid w:val="766F01AC"/>
    <w:rsid w:val="76E067DC"/>
    <w:rsid w:val="779C6EAE"/>
    <w:rsid w:val="77A86F03"/>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AD3051"/>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3394</Words>
  <Characters>3736</Characters>
  <Lines>56</Lines>
  <Paragraphs>15</Paragraphs>
  <TotalTime>172</TotalTime>
  <ScaleCrop>false</ScaleCrop>
  <LinksUpToDate>false</LinksUpToDate>
  <CharactersWithSpaces>4019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2025-10-20T07:14:43Z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07D6982EDDDB4BA9B7802E3A91908595_13</vt:lpwstr>
  </property>
  <property fmtid="{D5CDD505-2E9C-101B-9397-08002B2CF9AE}" pid="4" name="KSOTemplateDocerSaveRecord">
    <vt:lpwstr>eyJoZGlkIjoiMzEzZDllMGEzMjY0YTk3ZDNjZDQ1YWE5NTdkYjJjMjUiLCJ1c2VySWQiOiIxMDA3OTMzMzY5In0=</vt:lpwstr>
  </property>
</Properties>
</file>